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82021" w14:textId="344AB204" w:rsidR="00A9747B" w:rsidRPr="006F6CE4" w:rsidRDefault="0071306E" w:rsidP="003D5519">
      <w:pPr>
        <w:spacing w:line="240" w:lineRule="auto"/>
        <w:jc w:val="center"/>
        <w:rPr>
          <w:b/>
          <w:bCs/>
          <w:lang w:val="en-US"/>
        </w:rPr>
      </w:pPr>
      <w:r>
        <w:rPr>
          <w:b/>
          <w:bCs/>
          <w:lang w:val="en-US"/>
        </w:rPr>
        <w:t>Tier re-classification request</w:t>
      </w:r>
      <w:r w:rsidR="003D5519">
        <w:rPr>
          <w:b/>
          <w:bCs/>
          <w:lang w:val="en-US"/>
        </w:rPr>
        <w:t xml:space="preserve"> – 13 March 2018</w:t>
      </w:r>
    </w:p>
    <w:p w14:paraId="3ADE7BA5" w14:textId="77777777" w:rsidR="006F6CE4" w:rsidRDefault="006F6CE4" w:rsidP="003D5519">
      <w:pPr>
        <w:spacing w:after="120" w:line="240" w:lineRule="auto"/>
        <w:rPr>
          <w:lang w:val="en-US"/>
        </w:rPr>
      </w:pPr>
    </w:p>
    <w:p w14:paraId="043A4495" w14:textId="709154A5" w:rsidR="006F6CE4" w:rsidRPr="0071306E" w:rsidRDefault="0071306E" w:rsidP="003D5519">
      <w:pPr>
        <w:autoSpaceDE w:val="0"/>
        <w:autoSpaceDN w:val="0"/>
        <w:adjustRightInd w:val="0"/>
        <w:spacing w:after="120" w:line="240" w:lineRule="auto"/>
        <w:ind w:left="2700" w:hanging="2790"/>
        <w:rPr>
          <w:rFonts w:cs="TimesNewRomanPS-BoldMT"/>
          <w:bCs/>
        </w:rPr>
      </w:pPr>
      <w:r>
        <w:rPr>
          <w:rFonts w:cs="TimesNewRomanPS-BoldMT"/>
          <w:b/>
          <w:bCs/>
        </w:rPr>
        <w:t xml:space="preserve">  </w:t>
      </w:r>
      <w:r w:rsidR="006F6CE4" w:rsidRPr="006F6CE4">
        <w:rPr>
          <w:rFonts w:cs="TimesNewRomanPS-BoldMT"/>
          <w:b/>
          <w:bCs/>
        </w:rPr>
        <w:t xml:space="preserve">Indicator </w:t>
      </w:r>
      <w:r w:rsidR="00D513A3">
        <w:rPr>
          <w:rFonts w:cs="TimesNewRomanPS-BoldMT"/>
          <w:b/>
          <w:bCs/>
        </w:rPr>
        <w:t xml:space="preserve">Number and </w:t>
      </w:r>
      <w:r w:rsidR="006F6CE4" w:rsidRPr="006F6CE4">
        <w:rPr>
          <w:rFonts w:cs="TimesNewRomanPS-BoldMT"/>
          <w:b/>
          <w:bCs/>
        </w:rPr>
        <w:t>Name:</w:t>
      </w:r>
      <w:r>
        <w:rPr>
          <w:rFonts w:cs="TimesNewRomanPS-BoldMT"/>
          <w:b/>
          <w:bCs/>
        </w:rPr>
        <w:t xml:space="preserve"> </w:t>
      </w:r>
      <w:r w:rsidRPr="0071306E">
        <w:rPr>
          <w:rFonts w:cs="TimesNewRomanPS-BoldMT"/>
          <w:bCs/>
        </w:rPr>
        <w:t>14.b.1 Progress by countries in the degree of application of a legal/regulatory/policy/institutional framework which recognizes and protects access rights for small-scale fisheries</w:t>
      </w:r>
    </w:p>
    <w:p w14:paraId="4A65C139" w14:textId="12692173" w:rsidR="006F6CE4" w:rsidRPr="006F6CE4" w:rsidRDefault="006F6CE4" w:rsidP="003D5519">
      <w:pPr>
        <w:autoSpaceDE w:val="0"/>
        <w:autoSpaceDN w:val="0"/>
        <w:adjustRightInd w:val="0"/>
        <w:spacing w:after="120" w:line="240" w:lineRule="auto"/>
        <w:rPr>
          <w:rFonts w:cs="TimesNewRomanPSMT"/>
        </w:rPr>
      </w:pPr>
      <w:r w:rsidRPr="006F6CE4">
        <w:rPr>
          <w:rFonts w:cs="TimesNewRomanPS-BoldMT"/>
          <w:b/>
          <w:bCs/>
        </w:rPr>
        <w:t>Custodian Agency(ies):</w:t>
      </w:r>
      <w:r w:rsidR="0071306E">
        <w:rPr>
          <w:rFonts w:cs="TimesNewRomanPS-BoldMT"/>
          <w:b/>
          <w:bCs/>
        </w:rPr>
        <w:t xml:space="preserve"> </w:t>
      </w:r>
      <w:r w:rsidR="0071306E" w:rsidRPr="0071306E">
        <w:rPr>
          <w:rFonts w:cs="TimesNewRomanPS-BoldMT"/>
          <w:bCs/>
        </w:rPr>
        <w:t>FAO</w:t>
      </w:r>
    </w:p>
    <w:p w14:paraId="3CB29148" w14:textId="6634F4A5" w:rsidR="006F6CE4" w:rsidRPr="006F6CE4" w:rsidRDefault="006F6CE4" w:rsidP="003D5519">
      <w:pPr>
        <w:autoSpaceDE w:val="0"/>
        <w:autoSpaceDN w:val="0"/>
        <w:adjustRightInd w:val="0"/>
        <w:spacing w:after="120" w:line="240" w:lineRule="auto"/>
        <w:rPr>
          <w:rFonts w:cs="TimesNewRomanPSMT"/>
        </w:rPr>
      </w:pPr>
      <w:r w:rsidRPr="006F6CE4">
        <w:rPr>
          <w:rFonts w:cs="TimesNewRomanPS-BoldMT"/>
          <w:b/>
          <w:bCs/>
        </w:rPr>
        <w:t>Current Tier</w:t>
      </w:r>
      <w:r>
        <w:rPr>
          <w:rFonts w:cs="TimesNewRomanPSMT"/>
        </w:rPr>
        <w:t>:</w:t>
      </w:r>
      <w:r w:rsidRPr="006F6CE4">
        <w:rPr>
          <w:rFonts w:cs="TimesNewRomanPSMT"/>
        </w:rPr>
        <w:t xml:space="preserve"> </w:t>
      </w:r>
      <w:r w:rsidR="0071306E">
        <w:rPr>
          <w:rFonts w:cs="TimesNewRomanPSMT"/>
        </w:rPr>
        <w:t>III</w:t>
      </w:r>
    </w:p>
    <w:p w14:paraId="297C4E60" w14:textId="189A3CCE" w:rsidR="006F6CE4" w:rsidRPr="006F6CE4" w:rsidRDefault="006F6CE4" w:rsidP="003D5519">
      <w:pPr>
        <w:autoSpaceDE w:val="0"/>
        <w:autoSpaceDN w:val="0"/>
        <w:adjustRightInd w:val="0"/>
        <w:spacing w:after="120" w:line="240" w:lineRule="auto"/>
        <w:rPr>
          <w:rFonts w:cs="TimesNewRomanPSMT"/>
        </w:rPr>
      </w:pPr>
      <w:r>
        <w:rPr>
          <w:rFonts w:cs="TimesNewRomanPS-BoldMT"/>
          <w:b/>
          <w:bCs/>
        </w:rPr>
        <w:t>Proposed Tier:</w:t>
      </w:r>
      <w:r w:rsidR="0071306E">
        <w:rPr>
          <w:rFonts w:cs="TimesNewRomanPS-BoldMT"/>
          <w:b/>
          <w:bCs/>
        </w:rPr>
        <w:t xml:space="preserve"> </w:t>
      </w:r>
      <w:r w:rsidR="0071306E" w:rsidRPr="005C53CB">
        <w:rPr>
          <w:rFonts w:cs="TimesNewRomanPS-BoldMT"/>
          <w:bCs/>
        </w:rPr>
        <w:t>II</w:t>
      </w:r>
    </w:p>
    <w:p w14:paraId="20D77CD6" w14:textId="77777777" w:rsidR="006F6CE4" w:rsidRPr="006F6CE4" w:rsidRDefault="006F6CE4" w:rsidP="003D5519">
      <w:pPr>
        <w:spacing w:after="120" w:line="240" w:lineRule="auto"/>
        <w:rPr>
          <w:rFonts w:cs="TimesNewRomanPS-BoldMT"/>
          <w:b/>
          <w:bCs/>
        </w:rPr>
      </w:pPr>
    </w:p>
    <w:p w14:paraId="05DCEDEB" w14:textId="77777777" w:rsidR="006F6CE4" w:rsidRDefault="006F6CE4" w:rsidP="003D5519">
      <w:pPr>
        <w:pStyle w:val="ListParagraph"/>
        <w:numPr>
          <w:ilvl w:val="0"/>
          <w:numId w:val="2"/>
        </w:numPr>
        <w:spacing w:after="120" w:line="240" w:lineRule="auto"/>
        <w:contextualSpacing w:val="0"/>
        <w:rPr>
          <w:rFonts w:cs="TimesNewRomanPS-BoldMT"/>
          <w:b/>
          <w:bCs/>
        </w:rPr>
      </w:pPr>
      <w:r w:rsidRPr="006F6CE4">
        <w:rPr>
          <w:rFonts w:cs="TimesNewRomanPS-BoldMT"/>
          <w:b/>
          <w:bCs/>
        </w:rPr>
        <w:t>Background and rationale for indicator re</w:t>
      </w:r>
      <w:r w:rsidR="00540980">
        <w:rPr>
          <w:rFonts w:cs="TimesNewRomanPS-BoldMT"/>
          <w:b/>
          <w:bCs/>
        </w:rPr>
        <w:t>-</w:t>
      </w:r>
      <w:r w:rsidRPr="006F6CE4">
        <w:rPr>
          <w:rFonts w:cs="TimesNewRomanPS-BoldMT"/>
          <w:b/>
          <w:bCs/>
        </w:rPr>
        <w:t>classification</w:t>
      </w:r>
    </w:p>
    <w:p w14:paraId="2ACAA9B0" w14:textId="7BFD2F4D" w:rsidR="006C5874" w:rsidRDefault="003C70A5" w:rsidP="00E81A68">
      <w:pPr>
        <w:pStyle w:val="Default"/>
        <w:rPr>
          <w:rFonts w:asciiTheme="minorHAnsi" w:eastAsia="Times New Roman" w:hAnsiTheme="minorHAnsi" w:cstheme="minorBidi"/>
          <w:bCs/>
          <w:color w:val="auto"/>
          <w:sz w:val="22"/>
          <w:szCs w:val="22"/>
        </w:rPr>
      </w:pPr>
      <w:r w:rsidRPr="00695E3D">
        <w:rPr>
          <w:rFonts w:asciiTheme="minorHAnsi" w:eastAsia="Times New Roman" w:hAnsiTheme="minorHAnsi" w:cstheme="minorBidi"/>
          <w:bCs/>
          <w:color w:val="auto"/>
          <w:sz w:val="22"/>
          <w:szCs w:val="22"/>
        </w:rPr>
        <w:t xml:space="preserve">Indicator 14.b.1 is based on three questions of the Code of Conduct for Responsible Fisheries (CCRF) questionnaire which is submitted </w:t>
      </w:r>
      <w:r w:rsidR="00B04EC6">
        <w:rPr>
          <w:rFonts w:asciiTheme="minorHAnsi" w:eastAsia="Times New Roman" w:hAnsiTheme="minorHAnsi" w:cstheme="minorBidi"/>
          <w:bCs/>
          <w:color w:val="auto"/>
          <w:sz w:val="22"/>
          <w:szCs w:val="22"/>
        </w:rPr>
        <w:t xml:space="preserve">to FAO members every two years </w:t>
      </w:r>
      <w:r w:rsidR="00E81A68" w:rsidRPr="00E81A68">
        <w:rPr>
          <w:rFonts w:asciiTheme="minorHAnsi" w:eastAsia="Times New Roman" w:hAnsiTheme="minorHAnsi" w:cstheme="minorBidi"/>
          <w:bCs/>
          <w:color w:val="auto"/>
          <w:sz w:val="22"/>
          <w:szCs w:val="22"/>
        </w:rPr>
        <w:t xml:space="preserve">since 1995. </w:t>
      </w:r>
      <w:r w:rsidR="00E81A68">
        <w:rPr>
          <w:rFonts w:asciiTheme="minorHAnsi" w:eastAsia="Times New Roman" w:hAnsiTheme="minorHAnsi" w:cstheme="minorBidi"/>
          <w:bCs/>
          <w:color w:val="auto"/>
          <w:sz w:val="22"/>
          <w:szCs w:val="22"/>
        </w:rPr>
        <w:t>First</w:t>
      </w:r>
      <w:r w:rsidRPr="00695E3D">
        <w:rPr>
          <w:rFonts w:asciiTheme="minorHAnsi" w:eastAsia="Times New Roman" w:hAnsiTheme="minorHAnsi" w:cstheme="minorBidi"/>
          <w:bCs/>
          <w:color w:val="auto"/>
          <w:sz w:val="22"/>
          <w:szCs w:val="22"/>
        </w:rPr>
        <w:t xml:space="preserve"> </w:t>
      </w:r>
      <w:r w:rsidR="00E81A68">
        <w:rPr>
          <w:rFonts w:asciiTheme="minorHAnsi" w:eastAsia="Times New Roman" w:hAnsiTheme="minorHAnsi" w:cstheme="minorBidi"/>
          <w:bCs/>
          <w:color w:val="auto"/>
          <w:sz w:val="22"/>
          <w:szCs w:val="22"/>
        </w:rPr>
        <w:t xml:space="preserve">results to compile </w:t>
      </w:r>
      <w:r w:rsidRPr="00695E3D">
        <w:rPr>
          <w:rFonts w:asciiTheme="minorHAnsi" w:eastAsia="Times New Roman" w:hAnsiTheme="minorHAnsi" w:cstheme="minorBidi"/>
          <w:bCs/>
          <w:color w:val="auto"/>
          <w:sz w:val="22"/>
          <w:szCs w:val="22"/>
        </w:rPr>
        <w:t>indicator</w:t>
      </w:r>
      <w:r w:rsidR="00E81A68">
        <w:rPr>
          <w:rFonts w:asciiTheme="minorHAnsi" w:eastAsia="Times New Roman" w:hAnsiTheme="minorHAnsi" w:cstheme="minorBidi"/>
          <w:bCs/>
          <w:color w:val="auto"/>
          <w:sz w:val="22"/>
          <w:szCs w:val="22"/>
        </w:rPr>
        <w:t xml:space="preserve"> 14.b.1</w:t>
      </w:r>
      <w:r w:rsidRPr="00695E3D">
        <w:rPr>
          <w:rFonts w:asciiTheme="minorHAnsi" w:eastAsia="Times New Roman" w:hAnsiTheme="minorHAnsi" w:cstheme="minorBidi"/>
          <w:bCs/>
          <w:color w:val="auto"/>
          <w:sz w:val="22"/>
          <w:szCs w:val="22"/>
        </w:rPr>
        <w:t xml:space="preserve"> were already obtained in 2016</w:t>
      </w:r>
      <w:r w:rsidR="003D5519">
        <w:rPr>
          <w:rFonts w:asciiTheme="minorHAnsi" w:eastAsia="Times New Roman" w:hAnsiTheme="minorHAnsi" w:cstheme="minorBidi"/>
          <w:bCs/>
          <w:color w:val="auto"/>
          <w:sz w:val="22"/>
          <w:szCs w:val="22"/>
        </w:rPr>
        <w:t xml:space="preserve"> and were submitted to the IAEG-SDG in November 2017</w:t>
      </w:r>
      <w:r w:rsidR="00E81A68">
        <w:rPr>
          <w:rFonts w:asciiTheme="minorHAnsi" w:eastAsia="Times New Roman" w:hAnsiTheme="minorHAnsi" w:cstheme="minorBidi"/>
          <w:bCs/>
          <w:color w:val="auto"/>
          <w:sz w:val="22"/>
          <w:szCs w:val="22"/>
        </w:rPr>
        <w:t>, based on the responses by</w:t>
      </w:r>
      <w:r w:rsidR="00CD5174" w:rsidRPr="00CD5174">
        <w:rPr>
          <w:rFonts w:asciiTheme="minorHAnsi" w:eastAsia="Times New Roman" w:hAnsiTheme="minorHAnsi" w:cstheme="minorBidi"/>
          <w:bCs/>
          <w:color w:val="auto"/>
          <w:sz w:val="22"/>
          <w:szCs w:val="22"/>
        </w:rPr>
        <w:t xml:space="preserve"> 92 Members and the European Union (EU)</w:t>
      </w:r>
      <w:r w:rsidR="00CD5174">
        <w:rPr>
          <w:rFonts w:asciiTheme="minorHAnsi" w:eastAsia="Times New Roman" w:hAnsiTheme="minorHAnsi" w:cstheme="minorBidi"/>
          <w:bCs/>
          <w:color w:val="auto"/>
          <w:sz w:val="22"/>
          <w:szCs w:val="22"/>
        </w:rPr>
        <w:t xml:space="preserve">. </w:t>
      </w:r>
      <w:r w:rsidR="003D5519">
        <w:rPr>
          <w:rFonts w:asciiTheme="minorHAnsi" w:eastAsia="Times New Roman" w:hAnsiTheme="minorHAnsi" w:cstheme="minorBidi"/>
          <w:bCs/>
          <w:color w:val="auto"/>
          <w:sz w:val="22"/>
          <w:szCs w:val="22"/>
        </w:rPr>
        <w:t xml:space="preserve">New data </w:t>
      </w:r>
      <w:r w:rsidR="003D5519" w:rsidRPr="007D0469">
        <w:rPr>
          <w:rFonts w:asciiTheme="minorHAnsi" w:eastAsia="Times New Roman" w:hAnsiTheme="minorHAnsi" w:cstheme="minorBidi"/>
          <w:bCs/>
          <w:color w:val="auto"/>
          <w:sz w:val="22"/>
          <w:szCs w:val="22"/>
          <w:u w:val="single"/>
        </w:rPr>
        <w:t>are being reported</w:t>
      </w:r>
      <w:r w:rsidR="003D5519">
        <w:rPr>
          <w:rFonts w:asciiTheme="minorHAnsi" w:eastAsia="Times New Roman" w:hAnsiTheme="minorHAnsi" w:cstheme="minorBidi"/>
          <w:bCs/>
          <w:color w:val="auto"/>
          <w:sz w:val="22"/>
          <w:szCs w:val="22"/>
        </w:rPr>
        <w:t xml:space="preserve"> by countries to FAO in the new 2018 round of the CCRF questionnaire, going from January to March 2018. </w:t>
      </w:r>
    </w:p>
    <w:p w14:paraId="17938330" w14:textId="77777777" w:rsidR="006C5874" w:rsidRDefault="006C5874" w:rsidP="003D5519">
      <w:pPr>
        <w:pStyle w:val="Default"/>
        <w:ind w:left="360"/>
        <w:rPr>
          <w:rFonts w:asciiTheme="minorHAnsi" w:eastAsia="Times New Roman" w:hAnsiTheme="minorHAnsi" w:cstheme="minorBidi"/>
          <w:bCs/>
          <w:color w:val="auto"/>
          <w:sz w:val="22"/>
          <w:szCs w:val="22"/>
        </w:rPr>
      </w:pPr>
    </w:p>
    <w:p w14:paraId="23394D77" w14:textId="4D191DF3" w:rsidR="00023E21" w:rsidRDefault="003D5519" w:rsidP="00AB4F90">
      <w:pPr>
        <w:pStyle w:val="Default"/>
        <w:rPr>
          <w:rFonts w:asciiTheme="minorHAnsi" w:eastAsia="Times New Roman" w:hAnsiTheme="minorHAnsi" w:cstheme="minorBidi"/>
          <w:bCs/>
          <w:color w:val="auto"/>
          <w:sz w:val="22"/>
          <w:szCs w:val="22"/>
        </w:rPr>
      </w:pPr>
      <w:r>
        <w:rPr>
          <w:rFonts w:asciiTheme="minorHAnsi" w:eastAsia="Times New Roman" w:hAnsiTheme="minorHAnsi" w:cstheme="minorBidi"/>
          <w:bCs/>
          <w:color w:val="auto"/>
          <w:sz w:val="22"/>
          <w:szCs w:val="22"/>
        </w:rPr>
        <w:t>As of the time of this submission,</w:t>
      </w:r>
      <w:r w:rsidR="008A5472">
        <w:rPr>
          <w:rFonts w:asciiTheme="minorHAnsi" w:eastAsia="Times New Roman" w:hAnsiTheme="minorHAnsi" w:cstheme="minorBidi"/>
          <w:bCs/>
          <w:color w:val="auto"/>
          <w:sz w:val="22"/>
          <w:szCs w:val="22"/>
        </w:rPr>
        <w:t xml:space="preserve"> 71</w:t>
      </w:r>
      <w:r w:rsidR="00D76A70">
        <w:rPr>
          <w:rFonts w:asciiTheme="minorHAnsi" w:eastAsia="Times New Roman" w:hAnsiTheme="minorHAnsi" w:cstheme="minorBidi"/>
          <w:bCs/>
          <w:color w:val="auto"/>
          <w:sz w:val="22"/>
          <w:szCs w:val="22"/>
        </w:rPr>
        <w:t xml:space="preserve"> </w:t>
      </w:r>
      <w:r>
        <w:rPr>
          <w:rFonts w:asciiTheme="minorHAnsi" w:eastAsia="Times New Roman" w:hAnsiTheme="minorHAnsi" w:cstheme="minorBidi"/>
          <w:bCs/>
          <w:color w:val="auto"/>
          <w:sz w:val="22"/>
          <w:szCs w:val="22"/>
        </w:rPr>
        <w:t>countries have registere</w:t>
      </w:r>
      <w:r w:rsidR="008A5472">
        <w:rPr>
          <w:rFonts w:asciiTheme="minorHAnsi" w:eastAsia="Times New Roman" w:hAnsiTheme="minorHAnsi" w:cstheme="minorBidi"/>
          <w:bCs/>
          <w:color w:val="auto"/>
          <w:sz w:val="22"/>
          <w:szCs w:val="22"/>
        </w:rPr>
        <w:t>d on the online portal, while 23</w:t>
      </w:r>
      <w:r>
        <w:rPr>
          <w:rFonts w:asciiTheme="minorHAnsi" w:eastAsia="Times New Roman" w:hAnsiTheme="minorHAnsi" w:cstheme="minorBidi"/>
          <w:bCs/>
          <w:color w:val="auto"/>
          <w:sz w:val="22"/>
          <w:szCs w:val="22"/>
        </w:rPr>
        <w:t xml:space="preserve"> countries have </w:t>
      </w:r>
      <w:r w:rsidR="008A5472">
        <w:rPr>
          <w:rFonts w:asciiTheme="minorHAnsi" w:eastAsia="Times New Roman" w:hAnsiTheme="minorHAnsi" w:cstheme="minorBidi"/>
          <w:bCs/>
          <w:color w:val="auto"/>
          <w:sz w:val="22"/>
          <w:szCs w:val="22"/>
        </w:rPr>
        <w:t xml:space="preserve">already </w:t>
      </w:r>
      <w:bookmarkStart w:id="0" w:name="_GoBack"/>
      <w:bookmarkEnd w:id="0"/>
      <w:r>
        <w:rPr>
          <w:rFonts w:asciiTheme="minorHAnsi" w:eastAsia="Times New Roman" w:hAnsiTheme="minorHAnsi" w:cstheme="minorBidi"/>
          <w:bCs/>
          <w:color w:val="auto"/>
          <w:sz w:val="22"/>
          <w:szCs w:val="22"/>
        </w:rPr>
        <w:t>submitted their responses</w:t>
      </w:r>
      <w:r w:rsidR="00CD5174">
        <w:rPr>
          <w:rFonts w:asciiTheme="minorHAnsi" w:eastAsia="Times New Roman" w:hAnsiTheme="minorHAnsi" w:cstheme="minorBidi"/>
          <w:bCs/>
          <w:color w:val="auto"/>
          <w:sz w:val="22"/>
          <w:szCs w:val="22"/>
        </w:rPr>
        <w:t>, two of which have reported for the first time</w:t>
      </w:r>
      <w:r>
        <w:rPr>
          <w:rFonts w:asciiTheme="minorHAnsi" w:eastAsia="Times New Roman" w:hAnsiTheme="minorHAnsi" w:cstheme="minorBidi"/>
          <w:bCs/>
          <w:color w:val="auto"/>
          <w:sz w:val="22"/>
          <w:szCs w:val="22"/>
        </w:rPr>
        <w:t>. Based on past experience, a large majority of countries tend to respond close to the deadline for submissions (set for the end of March). As such, FAO expects the number respondent countries to rise exponentially over the next few weeks. By the time of the 7</w:t>
      </w:r>
      <w:r w:rsidRPr="003D5519">
        <w:rPr>
          <w:rFonts w:asciiTheme="minorHAnsi" w:eastAsia="Times New Roman" w:hAnsiTheme="minorHAnsi" w:cstheme="minorBidi"/>
          <w:bCs/>
          <w:color w:val="auto"/>
          <w:sz w:val="22"/>
          <w:szCs w:val="22"/>
          <w:vertAlign w:val="superscript"/>
        </w:rPr>
        <w:t>th</w:t>
      </w:r>
      <w:r>
        <w:rPr>
          <w:rFonts w:asciiTheme="minorHAnsi" w:eastAsia="Times New Roman" w:hAnsiTheme="minorHAnsi" w:cstheme="minorBidi"/>
          <w:bCs/>
          <w:color w:val="auto"/>
          <w:sz w:val="22"/>
          <w:szCs w:val="22"/>
        </w:rPr>
        <w:t xml:space="preserve"> meeting of the IAEG-SDG, FAO will update the </w:t>
      </w:r>
      <w:r w:rsidR="00CD5174">
        <w:rPr>
          <w:rFonts w:asciiTheme="minorHAnsi" w:eastAsia="Times New Roman" w:hAnsiTheme="minorHAnsi" w:cstheme="minorBidi"/>
          <w:bCs/>
          <w:color w:val="auto"/>
          <w:sz w:val="22"/>
          <w:szCs w:val="22"/>
        </w:rPr>
        <w:t xml:space="preserve">IAEG </w:t>
      </w:r>
      <w:r>
        <w:rPr>
          <w:rFonts w:asciiTheme="minorHAnsi" w:eastAsia="Times New Roman" w:hAnsiTheme="minorHAnsi" w:cstheme="minorBidi"/>
          <w:bCs/>
          <w:color w:val="auto"/>
          <w:sz w:val="22"/>
          <w:szCs w:val="22"/>
        </w:rPr>
        <w:t xml:space="preserve">members on the final figures and provide the relevant scores. </w:t>
      </w:r>
    </w:p>
    <w:p w14:paraId="5732009B" w14:textId="344E302C" w:rsidR="00AB4F90" w:rsidRDefault="00AB4F90" w:rsidP="003D5519">
      <w:pPr>
        <w:pStyle w:val="Default"/>
        <w:ind w:left="360"/>
        <w:rPr>
          <w:rFonts w:asciiTheme="minorHAnsi" w:eastAsia="Times New Roman" w:hAnsiTheme="minorHAnsi" w:cstheme="minorBidi"/>
          <w:bCs/>
          <w:color w:val="auto"/>
          <w:sz w:val="22"/>
          <w:szCs w:val="22"/>
        </w:rPr>
      </w:pPr>
    </w:p>
    <w:p w14:paraId="6F8D3CF6" w14:textId="009DDFC8" w:rsidR="00CD5174" w:rsidRPr="00AB4F90" w:rsidRDefault="00E81A68" w:rsidP="00CD5174">
      <w:pPr>
        <w:spacing w:after="0" w:line="240" w:lineRule="auto"/>
        <w:rPr>
          <w:rFonts w:eastAsia="Times New Roman"/>
          <w:bCs/>
          <w:lang w:val="en-US"/>
        </w:rPr>
      </w:pPr>
      <w:r>
        <w:rPr>
          <w:rFonts w:eastAsia="Times New Roman"/>
          <w:bCs/>
          <w:lang w:val="en-US"/>
        </w:rPr>
        <w:t>To date,</w:t>
      </w:r>
      <w:r w:rsidR="00CD5174" w:rsidRPr="00AB4F90">
        <w:rPr>
          <w:rFonts w:eastAsia="Times New Roman"/>
          <w:bCs/>
          <w:lang w:val="en-US"/>
        </w:rPr>
        <w:t xml:space="preserve"> the comparative distribution between bands of the countries are summarized in this table:</w:t>
      </w:r>
    </w:p>
    <w:p w14:paraId="18689950" w14:textId="77777777" w:rsidR="00CD5174" w:rsidRPr="00AB4F90" w:rsidRDefault="00CD5174" w:rsidP="00CD5174">
      <w:pPr>
        <w:spacing w:after="0" w:line="240" w:lineRule="auto"/>
        <w:rPr>
          <w:rFonts w:ascii="Calibri" w:eastAsia="Calibri" w:hAnsi="Calibri" w:cs="Calibri"/>
          <w:color w:val="1F497D"/>
          <w:lang w:val="en-US" w:eastAsia="en-US"/>
        </w:rPr>
      </w:pPr>
    </w:p>
    <w:tbl>
      <w:tblPr>
        <w:tblW w:w="10065" w:type="dxa"/>
        <w:tblInd w:w="-436" w:type="dxa"/>
        <w:tblCellMar>
          <w:left w:w="0" w:type="dxa"/>
          <w:right w:w="0" w:type="dxa"/>
        </w:tblCellMar>
        <w:tblLook w:val="04A0" w:firstRow="1" w:lastRow="0" w:firstColumn="1" w:lastColumn="0" w:noHBand="0" w:noVBand="1"/>
      </w:tblPr>
      <w:tblGrid>
        <w:gridCol w:w="1691"/>
        <w:gridCol w:w="1134"/>
        <w:gridCol w:w="1134"/>
        <w:gridCol w:w="1276"/>
        <w:gridCol w:w="1276"/>
        <w:gridCol w:w="1843"/>
        <w:gridCol w:w="1711"/>
      </w:tblGrid>
      <w:tr w:rsidR="00E81A68" w:rsidRPr="00AB4F90" w14:paraId="38DFAEC7" w14:textId="77777777" w:rsidTr="00B17F19">
        <w:trPr>
          <w:trHeight w:val="300"/>
        </w:trPr>
        <w:tc>
          <w:tcPr>
            <w:tcW w:w="1691" w:type="dxa"/>
            <w:tcBorders>
              <w:top w:val="single" w:sz="8" w:space="0" w:color="auto"/>
              <w:left w:val="single" w:sz="8" w:space="0" w:color="auto"/>
              <w:bottom w:val="single" w:sz="8" w:space="0" w:color="auto"/>
              <w:right w:val="single" w:sz="4" w:space="0" w:color="auto"/>
            </w:tcBorders>
            <w:noWrap/>
            <w:tcMar>
              <w:top w:w="0" w:type="dxa"/>
              <w:left w:w="108" w:type="dxa"/>
              <w:bottom w:w="0" w:type="dxa"/>
              <w:right w:w="108" w:type="dxa"/>
            </w:tcMar>
            <w:hideMark/>
          </w:tcPr>
          <w:p w14:paraId="7FCE53EC" w14:textId="77777777" w:rsidR="00E81A68" w:rsidRPr="00AB4F90" w:rsidRDefault="00E81A68" w:rsidP="00C76AE2">
            <w:pPr>
              <w:spacing w:after="0" w:line="240" w:lineRule="auto"/>
              <w:rPr>
                <w:rFonts w:ascii="Calibri" w:eastAsia="Calibri" w:hAnsi="Calibri" w:cs="Calibri"/>
                <w:color w:val="1F497D"/>
                <w:lang w:val="en-US" w:eastAsia="en-US"/>
              </w:rPr>
            </w:pPr>
          </w:p>
        </w:tc>
        <w:tc>
          <w:tcPr>
            <w:tcW w:w="8374" w:type="dxa"/>
            <w:gridSpan w:val="6"/>
            <w:tcBorders>
              <w:top w:val="single" w:sz="8" w:space="0" w:color="auto"/>
              <w:left w:val="single" w:sz="4" w:space="0" w:color="auto"/>
              <w:bottom w:val="single" w:sz="8" w:space="0" w:color="auto"/>
              <w:right w:val="single" w:sz="8" w:space="0" w:color="auto"/>
            </w:tcBorders>
            <w:noWrap/>
            <w:tcMar>
              <w:top w:w="0" w:type="dxa"/>
              <w:left w:w="108" w:type="dxa"/>
              <w:bottom w:w="0" w:type="dxa"/>
              <w:right w:w="108" w:type="dxa"/>
            </w:tcMar>
          </w:tcPr>
          <w:p w14:paraId="34FBBF1E" w14:textId="149D49C2" w:rsidR="00E81A68" w:rsidRPr="00AB4F90" w:rsidRDefault="00E81A68" w:rsidP="00E81A68">
            <w:pPr>
              <w:spacing w:after="0" w:line="240" w:lineRule="auto"/>
              <w:ind w:right="-495"/>
              <w:rPr>
                <w:rFonts w:ascii="Calibri" w:eastAsia="Calibri" w:hAnsi="Calibri" w:cs="Calibri"/>
                <w:b/>
                <w:i/>
                <w:color w:val="1F497D"/>
                <w:lang w:val="en-US" w:eastAsia="en-US"/>
              </w:rPr>
            </w:pPr>
            <w:r w:rsidRPr="00B17F19">
              <w:rPr>
                <w:rFonts w:ascii="Calibri" w:eastAsia="Calibri" w:hAnsi="Calibri" w:cs="Calibri"/>
                <w:b/>
                <w:i/>
                <w:color w:val="1F497D"/>
                <w:sz w:val="20"/>
                <w:lang w:val="en-US" w:eastAsia="en-US"/>
              </w:rPr>
              <w:t>Level of implementation of instruments for access to resources and markets for small-scale fisheries</w:t>
            </w:r>
          </w:p>
        </w:tc>
      </w:tr>
      <w:tr w:rsidR="00E81A68" w:rsidRPr="00AB4F90" w14:paraId="1D21C296" w14:textId="77777777" w:rsidTr="00B17F19">
        <w:trPr>
          <w:trHeight w:val="300"/>
        </w:trPr>
        <w:tc>
          <w:tcPr>
            <w:tcW w:w="1691" w:type="dxa"/>
            <w:tcBorders>
              <w:top w:val="single" w:sz="8" w:space="0" w:color="auto"/>
              <w:left w:val="single" w:sz="8" w:space="0" w:color="auto"/>
              <w:bottom w:val="single" w:sz="8" w:space="0" w:color="auto"/>
              <w:right w:val="single" w:sz="4" w:space="0" w:color="auto"/>
            </w:tcBorders>
            <w:noWrap/>
            <w:tcMar>
              <w:top w:w="0" w:type="dxa"/>
              <w:left w:w="108" w:type="dxa"/>
              <w:bottom w:w="0" w:type="dxa"/>
              <w:right w:w="108" w:type="dxa"/>
            </w:tcMar>
          </w:tcPr>
          <w:p w14:paraId="25951DEC" w14:textId="1C21BA19" w:rsidR="00E81A68" w:rsidRPr="00AB4F90" w:rsidRDefault="00E81A68" w:rsidP="00E81A68">
            <w:pPr>
              <w:spacing w:after="0" w:line="240" w:lineRule="auto"/>
              <w:rPr>
                <w:rFonts w:ascii="Calibri" w:eastAsia="Calibri" w:hAnsi="Calibri" w:cs="Calibri"/>
                <w:color w:val="1F497D"/>
                <w:lang w:val="en-US" w:eastAsia="en-US"/>
              </w:rPr>
            </w:pPr>
          </w:p>
        </w:tc>
        <w:tc>
          <w:tcPr>
            <w:tcW w:w="1134" w:type="dxa"/>
            <w:tcBorders>
              <w:top w:val="single" w:sz="8" w:space="0" w:color="auto"/>
              <w:left w:val="single" w:sz="4" w:space="0" w:color="auto"/>
              <w:bottom w:val="single" w:sz="8" w:space="0" w:color="auto"/>
              <w:right w:val="single" w:sz="8" w:space="0" w:color="auto"/>
            </w:tcBorders>
            <w:noWrap/>
            <w:tcMar>
              <w:top w:w="0" w:type="dxa"/>
              <w:left w:w="108" w:type="dxa"/>
              <w:bottom w:w="0" w:type="dxa"/>
              <w:right w:w="108" w:type="dxa"/>
            </w:tcMar>
          </w:tcPr>
          <w:p w14:paraId="64A9BEA0" w14:textId="03C3FB76" w:rsidR="00E81A68" w:rsidRDefault="00E81A68" w:rsidP="00E81A68">
            <w:pPr>
              <w:spacing w:after="0" w:line="240" w:lineRule="auto"/>
              <w:rPr>
                <w:rFonts w:ascii="Calibri" w:eastAsia="Calibri" w:hAnsi="Calibri" w:cs="Calibri"/>
                <w:b/>
                <w:bCs/>
                <w:color w:val="1F497D"/>
                <w:lang w:val="en-US" w:eastAsia="en-US"/>
              </w:rPr>
            </w:pPr>
            <w:r>
              <w:rPr>
                <w:rFonts w:ascii="Calibri" w:eastAsia="Calibri" w:hAnsi="Calibri" w:cs="Calibri"/>
                <w:b/>
                <w:bCs/>
                <w:color w:val="1F497D"/>
                <w:lang w:val="en-US" w:eastAsia="en-US"/>
              </w:rPr>
              <w:t>Very low</w:t>
            </w:r>
          </w:p>
        </w:tc>
        <w:tc>
          <w:tcPr>
            <w:tcW w:w="1134"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5F02DC6F" w14:textId="109291B9" w:rsidR="00E81A68" w:rsidRDefault="00E81A68" w:rsidP="00E81A68">
            <w:pPr>
              <w:spacing w:after="0" w:line="240" w:lineRule="auto"/>
              <w:rPr>
                <w:rFonts w:ascii="Calibri" w:eastAsia="Calibri" w:hAnsi="Calibri" w:cs="Calibri"/>
                <w:b/>
                <w:bCs/>
                <w:color w:val="1F497D"/>
                <w:lang w:val="en-US" w:eastAsia="en-US"/>
              </w:rPr>
            </w:pPr>
            <w:r>
              <w:rPr>
                <w:rFonts w:ascii="Calibri" w:eastAsia="Calibri" w:hAnsi="Calibri" w:cs="Calibri"/>
                <w:b/>
                <w:bCs/>
                <w:color w:val="1F497D"/>
                <w:lang w:val="en-US" w:eastAsia="en-US"/>
              </w:rPr>
              <w:t>Low</w:t>
            </w:r>
          </w:p>
        </w:tc>
        <w:tc>
          <w:tcPr>
            <w:tcW w:w="127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0BCF8623" w14:textId="61ED0DFE" w:rsidR="00E81A68" w:rsidRDefault="00E81A68" w:rsidP="00E81A68">
            <w:pPr>
              <w:spacing w:after="0" w:line="240" w:lineRule="auto"/>
              <w:rPr>
                <w:rFonts w:ascii="Calibri" w:eastAsia="Calibri" w:hAnsi="Calibri" w:cs="Calibri"/>
                <w:b/>
                <w:bCs/>
                <w:color w:val="1F497D"/>
                <w:lang w:val="en-US" w:eastAsia="en-US"/>
              </w:rPr>
            </w:pPr>
            <w:r>
              <w:rPr>
                <w:rFonts w:ascii="Calibri" w:eastAsia="Calibri" w:hAnsi="Calibri" w:cs="Calibri"/>
                <w:b/>
                <w:bCs/>
                <w:color w:val="1F497D"/>
                <w:lang w:val="en-US" w:eastAsia="en-US"/>
              </w:rPr>
              <w:t>Medium</w:t>
            </w:r>
          </w:p>
        </w:tc>
        <w:tc>
          <w:tcPr>
            <w:tcW w:w="127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3359B133" w14:textId="5E3EB46B" w:rsidR="00E81A68" w:rsidRDefault="00E81A68" w:rsidP="00E81A68">
            <w:pPr>
              <w:spacing w:after="0" w:line="240" w:lineRule="auto"/>
              <w:rPr>
                <w:rFonts w:ascii="Calibri" w:eastAsia="Calibri" w:hAnsi="Calibri" w:cs="Calibri"/>
                <w:b/>
                <w:bCs/>
                <w:color w:val="1F497D"/>
                <w:lang w:val="en-US" w:eastAsia="en-US"/>
              </w:rPr>
            </w:pPr>
            <w:r>
              <w:rPr>
                <w:rFonts w:ascii="Calibri" w:eastAsia="Calibri" w:hAnsi="Calibri" w:cs="Calibri"/>
                <w:b/>
                <w:bCs/>
                <w:color w:val="1F497D"/>
                <w:lang w:val="en-US" w:eastAsia="en-US"/>
              </w:rPr>
              <w:t>High</w:t>
            </w:r>
          </w:p>
        </w:tc>
        <w:tc>
          <w:tcPr>
            <w:tcW w:w="1843"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12EFCC1E" w14:textId="269C6356" w:rsidR="00E81A68" w:rsidRDefault="00E81A68" w:rsidP="00E81A68">
            <w:pPr>
              <w:spacing w:after="0" w:line="240" w:lineRule="auto"/>
              <w:rPr>
                <w:rFonts w:ascii="Calibri" w:eastAsia="Calibri" w:hAnsi="Calibri" w:cs="Calibri"/>
                <w:b/>
                <w:bCs/>
                <w:color w:val="1F497D"/>
                <w:lang w:val="en-US" w:eastAsia="en-US"/>
              </w:rPr>
            </w:pPr>
            <w:r>
              <w:rPr>
                <w:rFonts w:ascii="Calibri" w:eastAsia="Calibri" w:hAnsi="Calibri" w:cs="Calibri"/>
                <w:b/>
                <w:bCs/>
                <w:color w:val="1F497D"/>
                <w:lang w:val="en-US" w:eastAsia="en-US"/>
              </w:rPr>
              <w:t>Very high</w:t>
            </w:r>
          </w:p>
        </w:tc>
        <w:tc>
          <w:tcPr>
            <w:tcW w:w="1711"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14766588" w14:textId="589B9463" w:rsidR="00E81A68" w:rsidRPr="00126EF7" w:rsidRDefault="00E81A68" w:rsidP="00E81A68">
            <w:pPr>
              <w:spacing w:after="0" w:line="240" w:lineRule="auto"/>
              <w:rPr>
                <w:rFonts w:ascii="Calibri" w:eastAsia="Calibri" w:hAnsi="Calibri" w:cs="Calibri"/>
                <w:b/>
                <w:color w:val="1F497D"/>
                <w:lang w:val="en-US" w:eastAsia="en-US"/>
              </w:rPr>
            </w:pPr>
            <w:r w:rsidRPr="00AB4F90">
              <w:rPr>
                <w:rFonts w:ascii="Calibri" w:eastAsia="Calibri" w:hAnsi="Calibri" w:cs="Calibri"/>
                <w:b/>
                <w:color w:val="1F497D"/>
                <w:lang w:val="en-US" w:eastAsia="en-US"/>
              </w:rPr>
              <w:t>Grand Total</w:t>
            </w:r>
          </w:p>
        </w:tc>
      </w:tr>
      <w:tr w:rsidR="00B17F19" w:rsidRPr="00AB4F90" w14:paraId="2A150357" w14:textId="77777777" w:rsidTr="00B17F19">
        <w:trPr>
          <w:trHeight w:val="300"/>
        </w:trPr>
        <w:tc>
          <w:tcPr>
            <w:tcW w:w="169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840C9B4" w14:textId="46C049DA" w:rsidR="00E81A68" w:rsidRPr="00AB4F90" w:rsidRDefault="00B17F19" w:rsidP="00B17F19">
            <w:pPr>
              <w:spacing w:after="0" w:line="240" w:lineRule="auto"/>
              <w:rPr>
                <w:rFonts w:ascii="Calibri" w:eastAsia="Calibri" w:hAnsi="Calibri" w:cs="Calibri"/>
                <w:b/>
                <w:bCs/>
                <w:color w:val="1F497D"/>
                <w:lang w:val="en-US" w:eastAsia="en-US"/>
              </w:rPr>
            </w:pPr>
            <w:r>
              <w:rPr>
                <w:rFonts w:ascii="Calibri" w:eastAsia="Calibri" w:hAnsi="Calibri" w:cs="Calibri"/>
                <w:b/>
                <w:bCs/>
                <w:color w:val="1F497D"/>
                <w:lang w:val="en-US" w:eastAsia="en-US"/>
              </w:rPr>
              <w:t>No. of countries r</w:t>
            </w:r>
            <w:r w:rsidR="00E81A68" w:rsidRPr="00AB4F90">
              <w:rPr>
                <w:rFonts w:ascii="Calibri" w:eastAsia="Calibri" w:hAnsi="Calibri" w:cs="Calibri"/>
                <w:b/>
                <w:bCs/>
                <w:color w:val="1F497D"/>
                <w:lang w:val="en-US" w:eastAsia="en-US"/>
              </w:rPr>
              <w:t>eporting 2016</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886EE2E" w14:textId="77777777" w:rsidR="00E81A68" w:rsidRPr="00AB4F90" w:rsidRDefault="00E81A68" w:rsidP="00E81A68">
            <w:pPr>
              <w:spacing w:after="0" w:line="240" w:lineRule="auto"/>
              <w:rPr>
                <w:rFonts w:ascii="Calibri" w:eastAsia="Calibri" w:hAnsi="Calibri" w:cs="Calibri"/>
                <w:color w:val="1F497D"/>
                <w:lang w:val="en-US" w:eastAsia="en-US"/>
              </w:rPr>
            </w:pPr>
            <w:r w:rsidRPr="00AB4F90">
              <w:rPr>
                <w:rFonts w:ascii="Calibri" w:eastAsia="Calibri" w:hAnsi="Calibri" w:cs="Calibri"/>
                <w:color w:val="1F497D"/>
                <w:lang w:val="en-US" w:eastAsia="en-US"/>
              </w:rPr>
              <w:t>14</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B6C5B37" w14:textId="77777777" w:rsidR="00E81A68" w:rsidRPr="00AB4F90" w:rsidRDefault="00E81A68" w:rsidP="00E81A68">
            <w:pPr>
              <w:spacing w:after="0" w:line="240" w:lineRule="auto"/>
              <w:rPr>
                <w:rFonts w:ascii="Calibri" w:eastAsia="Calibri" w:hAnsi="Calibri" w:cs="Calibri"/>
                <w:color w:val="1F497D"/>
                <w:lang w:val="en-US" w:eastAsia="en-US"/>
              </w:rPr>
            </w:pPr>
            <w:r w:rsidRPr="00AB4F90">
              <w:rPr>
                <w:rFonts w:ascii="Calibri" w:eastAsia="Calibri" w:hAnsi="Calibri" w:cs="Calibri"/>
                <w:color w:val="1F497D"/>
                <w:lang w:val="en-US" w:eastAsia="en-US"/>
              </w:rPr>
              <w:t>44</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26F4142A" w14:textId="77777777" w:rsidR="00E81A68" w:rsidRPr="00AB4F90" w:rsidRDefault="00E81A68" w:rsidP="00E81A68">
            <w:pPr>
              <w:spacing w:after="0" w:line="240" w:lineRule="auto"/>
              <w:rPr>
                <w:rFonts w:ascii="Calibri" w:eastAsia="Calibri" w:hAnsi="Calibri" w:cs="Calibri"/>
                <w:color w:val="1F497D"/>
                <w:lang w:val="en-US" w:eastAsia="en-US"/>
              </w:rPr>
            </w:pPr>
            <w:r w:rsidRPr="00AB4F90">
              <w:rPr>
                <w:rFonts w:ascii="Calibri" w:eastAsia="Calibri" w:hAnsi="Calibri" w:cs="Calibri"/>
                <w:color w:val="1F497D"/>
                <w:lang w:val="en-US" w:eastAsia="en-US"/>
              </w:rPr>
              <w:t>22</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7CB65829" w14:textId="77777777" w:rsidR="00E81A68" w:rsidRPr="00AB4F90" w:rsidRDefault="00E81A68" w:rsidP="00E81A68">
            <w:pPr>
              <w:spacing w:after="0" w:line="240" w:lineRule="auto"/>
              <w:rPr>
                <w:rFonts w:ascii="Calibri" w:eastAsia="Calibri" w:hAnsi="Calibri" w:cs="Calibri"/>
                <w:color w:val="1F497D"/>
                <w:lang w:val="en-US" w:eastAsia="en-US"/>
              </w:rPr>
            </w:pPr>
            <w:r w:rsidRPr="00AB4F90">
              <w:rPr>
                <w:rFonts w:ascii="Calibri" w:eastAsia="Calibri" w:hAnsi="Calibri" w:cs="Calibri"/>
                <w:color w:val="1F497D"/>
                <w:lang w:val="en-US" w:eastAsia="en-US"/>
              </w:rPr>
              <w:t>20</w:t>
            </w: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7A6112FA" w14:textId="77777777" w:rsidR="00E81A68" w:rsidRPr="00AB4F90" w:rsidRDefault="00E81A68" w:rsidP="00E81A68">
            <w:pPr>
              <w:spacing w:after="0" w:line="240" w:lineRule="auto"/>
              <w:rPr>
                <w:rFonts w:ascii="Calibri" w:eastAsia="Calibri" w:hAnsi="Calibri" w:cs="Calibri"/>
                <w:color w:val="1F497D"/>
                <w:lang w:val="en-US" w:eastAsia="en-US"/>
              </w:rPr>
            </w:pPr>
            <w:r w:rsidRPr="00AB4F90">
              <w:rPr>
                <w:rFonts w:ascii="Calibri" w:eastAsia="Calibri" w:hAnsi="Calibri" w:cs="Calibri"/>
                <w:color w:val="1F497D"/>
                <w:lang w:val="en-US" w:eastAsia="en-US"/>
              </w:rPr>
              <w:t>21</w:t>
            </w:r>
          </w:p>
        </w:tc>
        <w:tc>
          <w:tcPr>
            <w:tcW w:w="1711" w:type="dxa"/>
            <w:tcBorders>
              <w:top w:val="nil"/>
              <w:left w:val="nil"/>
              <w:bottom w:val="single" w:sz="8" w:space="0" w:color="auto"/>
              <w:right w:val="single" w:sz="8" w:space="0" w:color="auto"/>
            </w:tcBorders>
            <w:noWrap/>
            <w:tcMar>
              <w:top w:w="0" w:type="dxa"/>
              <w:left w:w="108" w:type="dxa"/>
              <w:bottom w:w="0" w:type="dxa"/>
              <w:right w:w="108" w:type="dxa"/>
            </w:tcMar>
            <w:hideMark/>
          </w:tcPr>
          <w:p w14:paraId="79220B36" w14:textId="77777777" w:rsidR="00E81A68" w:rsidRPr="00AB4F90" w:rsidRDefault="00E81A68" w:rsidP="00E81A68">
            <w:pPr>
              <w:spacing w:after="0" w:line="240" w:lineRule="auto"/>
              <w:rPr>
                <w:rFonts w:ascii="Calibri" w:eastAsia="Calibri" w:hAnsi="Calibri" w:cs="Calibri"/>
                <w:color w:val="1F497D"/>
                <w:lang w:val="en-US" w:eastAsia="en-US"/>
              </w:rPr>
            </w:pPr>
            <w:r w:rsidRPr="00AB4F90">
              <w:rPr>
                <w:rFonts w:ascii="Calibri" w:eastAsia="Calibri" w:hAnsi="Calibri" w:cs="Calibri"/>
                <w:color w:val="1F497D"/>
                <w:lang w:val="en-US" w:eastAsia="en-US"/>
              </w:rPr>
              <w:t>121</w:t>
            </w:r>
          </w:p>
        </w:tc>
      </w:tr>
      <w:tr w:rsidR="00B17F19" w:rsidRPr="00AB4F90" w14:paraId="0D29DE44" w14:textId="77777777" w:rsidTr="00B17F19">
        <w:trPr>
          <w:trHeight w:val="300"/>
        </w:trPr>
        <w:tc>
          <w:tcPr>
            <w:tcW w:w="169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32DE9AA" w14:textId="6FEF14DF" w:rsidR="00E81A68" w:rsidRPr="00AB4F90" w:rsidRDefault="00B17F19" w:rsidP="00B17F19">
            <w:pPr>
              <w:spacing w:after="0" w:line="240" w:lineRule="auto"/>
              <w:rPr>
                <w:rFonts w:ascii="Calibri" w:eastAsia="Calibri" w:hAnsi="Calibri" w:cs="Calibri"/>
                <w:b/>
                <w:bCs/>
                <w:color w:val="1F497D"/>
                <w:lang w:val="en-US" w:eastAsia="en-US"/>
              </w:rPr>
            </w:pPr>
            <w:r>
              <w:rPr>
                <w:rFonts w:ascii="Calibri" w:eastAsia="Calibri" w:hAnsi="Calibri" w:cs="Calibri"/>
                <w:b/>
                <w:bCs/>
                <w:color w:val="1F497D"/>
                <w:lang w:val="en-US" w:eastAsia="en-US"/>
              </w:rPr>
              <w:t>No. of countries r</w:t>
            </w:r>
            <w:r w:rsidRPr="00AB4F90">
              <w:rPr>
                <w:rFonts w:ascii="Calibri" w:eastAsia="Calibri" w:hAnsi="Calibri" w:cs="Calibri"/>
                <w:b/>
                <w:bCs/>
                <w:color w:val="1F497D"/>
                <w:lang w:val="en-US" w:eastAsia="en-US"/>
              </w:rPr>
              <w:t>eporting</w:t>
            </w:r>
            <w:r>
              <w:rPr>
                <w:rFonts w:ascii="Calibri" w:eastAsia="Calibri" w:hAnsi="Calibri" w:cs="Calibri"/>
                <w:b/>
                <w:bCs/>
                <w:color w:val="1F497D"/>
                <w:lang w:val="en-US" w:eastAsia="en-US"/>
              </w:rPr>
              <w:t xml:space="preserve"> 2018</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369D60F" w14:textId="2026FAE5" w:rsidR="00E81A68" w:rsidRPr="00AB4F90" w:rsidRDefault="006708C9" w:rsidP="00E81A68">
            <w:pPr>
              <w:spacing w:after="0" w:line="240" w:lineRule="auto"/>
              <w:rPr>
                <w:rFonts w:ascii="Calibri" w:eastAsia="Calibri" w:hAnsi="Calibri" w:cs="Calibri"/>
                <w:color w:val="1F497D"/>
                <w:lang w:val="en-US" w:eastAsia="en-US"/>
              </w:rPr>
            </w:pPr>
            <w:r>
              <w:rPr>
                <w:rFonts w:ascii="Calibri" w:eastAsia="Calibri" w:hAnsi="Calibri" w:cs="Calibri"/>
                <w:color w:val="1F497D"/>
                <w:lang w:val="en-US" w:eastAsia="en-US"/>
              </w:rPr>
              <w:t>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5E45B2E0" w14:textId="77777777" w:rsidR="00E81A68" w:rsidRPr="00AB4F90" w:rsidRDefault="00E81A68" w:rsidP="00E81A68">
            <w:pPr>
              <w:spacing w:after="0" w:line="240" w:lineRule="auto"/>
              <w:rPr>
                <w:rFonts w:ascii="Calibri" w:eastAsia="Calibri" w:hAnsi="Calibri" w:cs="Calibri"/>
                <w:color w:val="1F497D"/>
                <w:lang w:val="en-US" w:eastAsia="en-US"/>
              </w:rPr>
            </w:pPr>
            <w:r w:rsidRPr="00AB4F90">
              <w:rPr>
                <w:rFonts w:ascii="Calibri" w:eastAsia="Calibri" w:hAnsi="Calibri" w:cs="Calibri"/>
                <w:color w:val="1F497D"/>
                <w:lang w:val="en-US" w:eastAsia="en-US"/>
              </w:rPr>
              <w:t>1</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32EC1969" w14:textId="77777777" w:rsidR="00E81A68" w:rsidRPr="00AB4F90" w:rsidRDefault="00E81A68" w:rsidP="00E81A68">
            <w:pPr>
              <w:spacing w:after="0" w:line="240" w:lineRule="auto"/>
              <w:rPr>
                <w:rFonts w:ascii="Calibri" w:eastAsia="Calibri" w:hAnsi="Calibri" w:cs="Calibri"/>
                <w:color w:val="1F497D"/>
                <w:lang w:val="en-US" w:eastAsia="en-US"/>
              </w:rPr>
            </w:pPr>
            <w:r w:rsidRPr="00AB4F90">
              <w:rPr>
                <w:rFonts w:ascii="Calibri" w:eastAsia="Calibri" w:hAnsi="Calibri" w:cs="Calibri"/>
                <w:color w:val="1F497D"/>
                <w:lang w:val="en-US" w:eastAsia="en-US"/>
              </w:rPr>
              <w:t>0</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2697A969" w14:textId="77777777" w:rsidR="00E81A68" w:rsidRPr="00AB4F90" w:rsidRDefault="00E81A68" w:rsidP="00E81A68">
            <w:pPr>
              <w:spacing w:after="0" w:line="240" w:lineRule="auto"/>
              <w:rPr>
                <w:rFonts w:ascii="Calibri" w:eastAsia="Calibri" w:hAnsi="Calibri" w:cs="Calibri"/>
                <w:color w:val="1F497D"/>
                <w:lang w:val="en-US" w:eastAsia="en-US"/>
              </w:rPr>
            </w:pPr>
            <w:r w:rsidRPr="00AB4F90">
              <w:rPr>
                <w:rFonts w:ascii="Calibri" w:eastAsia="Calibri" w:hAnsi="Calibri" w:cs="Calibri"/>
                <w:color w:val="1F497D"/>
                <w:lang w:val="en-US" w:eastAsia="en-US"/>
              </w:rPr>
              <w:t>1</w:t>
            </w: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234AF9F0" w14:textId="77777777" w:rsidR="00E81A68" w:rsidRPr="00AB4F90" w:rsidRDefault="00E81A68" w:rsidP="00E81A68">
            <w:pPr>
              <w:spacing w:after="0" w:line="240" w:lineRule="auto"/>
              <w:rPr>
                <w:rFonts w:ascii="Calibri" w:eastAsia="Calibri" w:hAnsi="Calibri" w:cs="Calibri"/>
                <w:color w:val="1F497D"/>
                <w:lang w:val="en-US" w:eastAsia="en-US"/>
              </w:rPr>
            </w:pPr>
            <w:r w:rsidRPr="00AB4F90">
              <w:rPr>
                <w:rFonts w:ascii="Calibri" w:eastAsia="Calibri" w:hAnsi="Calibri" w:cs="Calibri"/>
                <w:color w:val="1F497D"/>
                <w:lang w:val="en-US" w:eastAsia="en-US"/>
              </w:rPr>
              <w:t>10</w:t>
            </w:r>
          </w:p>
        </w:tc>
        <w:tc>
          <w:tcPr>
            <w:tcW w:w="1711" w:type="dxa"/>
            <w:tcBorders>
              <w:top w:val="nil"/>
              <w:left w:val="nil"/>
              <w:bottom w:val="single" w:sz="8" w:space="0" w:color="auto"/>
              <w:right w:val="single" w:sz="8" w:space="0" w:color="auto"/>
            </w:tcBorders>
            <w:noWrap/>
            <w:tcMar>
              <w:top w:w="0" w:type="dxa"/>
              <w:left w:w="108" w:type="dxa"/>
              <w:bottom w:w="0" w:type="dxa"/>
              <w:right w:w="108" w:type="dxa"/>
            </w:tcMar>
            <w:hideMark/>
          </w:tcPr>
          <w:p w14:paraId="0E632908" w14:textId="77777777" w:rsidR="00E81A68" w:rsidRPr="00AB4F90" w:rsidRDefault="00E81A68" w:rsidP="00E81A68">
            <w:pPr>
              <w:spacing w:after="0" w:line="240" w:lineRule="auto"/>
              <w:rPr>
                <w:rFonts w:ascii="Calibri" w:eastAsia="Calibri" w:hAnsi="Calibri" w:cs="Calibri"/>
                <w:color w:val="1F497D"/>
                <w:lang w:val="en-US" w:eastAsia="en-US"/>
              </w:rPr>
            </w:pPr>
            <w:r w:rsidRPr="00AB4F90">
              <w:rPr>
                <w:rFonts w:ascii="Calibri" w:eastAsia="Calibri" w:hAnsi="Calibri" w:cs="Calibri"/>
                <w:color w:val="1F497D"/>
                <w:lang w:val="en-US" w:eastAsia="en-US"/>
              </w:rPr>
              <w:t>20</w:t>
            </w:r>
          </w:p>
        </w:tc>
      </w:tr>
    </w:tbl>
    <w:p w14:paraId="0D3DB876" w14:textId="360B76A1" w:rsidR="00E81A68" w:rsidRDefault="00E81A68" w:rsidP="00AB4F90">
      <w:pPr>
        <w:spacing w:after="0" w:line="240" w:lineRule="auto"/>
        <w:rPr>
          <w:rFonts w:eastAsia="Times New Roman"/>
          <w:bCs/>
          <w:lang w:val="en-US"/>
        </w:rPr>
      </w:pPr>
    </w:p>
    <w:p w14:paraId="369AD71C" w14:textId="0C9C4515" w:rsidR="00AB4F90" w:rsidRDefault="00D2390C" w:rsidP="00D2390C">
      <w:pPr>
        <w:spacing w:after="0" w:line="240" w:lineRule="auto"/>
        <w:rPr>
          <w:rFonts w:eastAsia="Times New Roman"/>
          <w:bCs/>
        </w:rPr>
      </w:pPr>
      <w:r>
        <w:rPr>
          <w:rFonts w:eastAsia="Times New Roman"/>
          <w:bCs/>
          <w:lang w:val="en-US"/>
        </w:rPr>
        <w:t>For the 2018 round, t</w:t>
      </w:r>
      <w:r w:rsidR="00AB4F90" w:rsidRPr="00AB4F90">
        <w:rPr>
          <w:rFonts w:eastAsia="Times New Roman"/>
          <w:bCs/>
          <w:lang w:val="en-US"/>
        </w:rPr>
        <w:t xml:space="preserve">he EU continues </w:t>
      </w:r>
      <w:r>
        <w:rPr>
          <w:rFonts w:eastAsia="Times New Roman"/>
          <w:bCs/>
          <w:lang w:val="en-US"/>
        </w:rPr>
        <w:t>to report</w:t>
      </w:r>
      <w:r w:rsidR="00AB4F90" w:rsidRPr="00AB4F90">
        <w:rPr>
          <w:rFonts w:eastAsia="Times New Roman"/>
          <w:bCs/>
          <w:lang w:val="en-US"/>
        </w:rPr>
        <w:t xml:space="preserve"> on behalf of all member countries for this indicator</w:t>
      </w:r>
      <w:r>
        <w:rPr>
          <w:rFonts w:eastAsia="Times New Roman"/>
          <w:bCs/>
          <w:lang w:val="en-US"/>
        </w:rPr>
        <w:t>, based on an informed decision by the EU and communicated to FAO</w:t>
      </w:r>
      <w:r w:rsidR="00AB4F90" w:rsidRPr="00AB4F90">
        <w:rPr>
          <w:rFonts w:eastAsia="Times New Roman"/>
          <w:bCs/>
          <w:lang w:val="en-US"/>
        </w:rPr>
        <w:t>.</w:t>
      </w:r>
      <w:r w:rsidR="006708C9">
        <w:rPr>
          <w:rFonts w:eastAsia="Times New Roman"/>
          <w:bCs/>
          <w:lang w:val="en-US"/>
        </w:rPr>
        <w:t xml:space="preserve"> The seven EU countries out of the 20 that have already responded to FAO by the time of this submission, have therefore not been included in the above table, pending the response of the EU on their behalf.</w:t>
      </w:r>
    </w:p>
    <w:p w14:paraId="6828B8B2" w14:textId="77777777" w:rsidR="00023E21" w:rsidRDefault="00023E21" w:rsidP="003D5519">
      <w:pPr>
        <w:pStyle w:val="Default"/>
        <w:ind w:left="360"/>
        <w:rPr>
          <w:rFonts w:asciiTheme="minorHAnsi" w:eastAsia="Times New Roman" w:hAnsiTheme="minorHAnsi" w:cstheme="minorBidi"/>
          <w:bCs/>
          <w:color w:val="auto"/>
          <w:sz w:val="22"/>
          <w:szCs w:val="22"/>
        </w:rPr>
      </w:pPr>
    </w:p>
    <w:p w14:paraId="07A0117D" w14:textId="77777777" w:rsidR="006F6CE4" w:rsidRDefault="006F6CE4" w:rsidP="003D5519">
      <w:pPr>
        <w:pStyle w:val="ListParagraph"/>
        <w:numPr>
          <w:ilvl w:val="0"/>
          <w:numId w:val="2"/>
        </w:numPr>
        <w:spacing w:after="120" w:line="240" w:lineRule="auto"/>
        <w:contextualSpacing w:val="0"/>
        <w:rPr>
          <w:rFonts w:eastAsia="Times New Roman"/>
          <w:b/>
          <w:bCs/>
          <w:lang w:val="en-US"/>
        </w:rPr>
      </w:pPr>
      <w:r w:rsidRPr="006F6CE4">
        <w:rPr>
          <w:rFonts w:eastAsia="Times New Roman"/>
          <w:b/>
          <w:bCs/>
          <w:lang w:val="en-US"/>
        </w:rPr>
        <w:t>Information on how and when the methodology has become an international standard and who is the governing body that approves it</w:t>
      </w:r>
    </w:p>
    <w:p w14:paraId="7689BFE5" w14:textId="287B7F19" w:rsidR="0033423C" w:rsidRDefault="0033423C" w:rsidP="00AB4F90">
      <w:pPr>
        <w:pStyle w:val="ListParagraph"/>
        <w:spacing w:line="240" w:lineRule="auto"/>
        <w:ind w:left="0"/>
        <w:rPr>
          <w:rFonts w:eastAsia="Times New Roman"/>
          <w:bCs/>
          <w:lang w:val="en-US"/>
        </w:rPr>
      </w:pPr>
      <w:r w:rsidRPr="0033423C">
        <w:rPr>
          <w:rFonts w:eastAsia="Times New Roman"/>
          <w:bCs/>
          <w:lang w:val="en-US"/>
        </w:rPr>
        <w:t>The Committee on Fisheries (COFI) is a subsidiary body of the FAO Council.</w:t>
      </w:r>
      <w:r>
        <w:rPr>
          <w:rFonts w:eastAsia="Times New Roman"/>
          <w:bCs/>
          <w:lang w:val="en-US"/>
        </w:rPr>
        <w:t xml:space="preserve"> </w:t>
      </w:r>
      <w:r w:rsidRPr="0033423C">
        <w:rPr>
          <w:rFonts w:eastAsia="Times New Roman"/>
          <w:bCs/>
          <w:lang w:val="en-US"/>
        </w:rPr>
        <w:t>It is the leading global intergovernmental forum where major</w:t>
      </w:r>
      <w:r>
        <w:rPr>
          <w:rFonts w:eastAsia="Times New Roman"/>
          <w:bCs/>
          <w:lang w:val="en-US"/>
        </w:rPr>
        <w:t xml:space="preserve"> </w:t>
      </w:r>
      <w:r w:rsidRPr="0033423C">
        <w:rPr>
          <w:rFonts w:eastAsia="Times New Roman"/>
          <w:bCs/>
          <w:lang w:val="en-US"/>
        </w:rPr>
        <w:t>international fisheries and aquaculture problems and issues are examined</w:t>
      </w:r>
      <w:r>
        <w:rPr>
          <w:rFonts w:eastAsia="Times New Roman"/>
          <w:bCs/>
          <w:lang w:val="en-US"/>
        </w:rPr>
        <w:t xml:space="preserve"> </w:t>
      </w:r>
      <w:r w:rsidRPr="0033423C">
        <w:rPr>
          <w:rFonts w:eastAsia="Times New Roman"/>
          <w:bCs/>
          <w:lang w:val="en-US"/>
        </w:rPr>
        <w:t>and recommendations addressed to governments, regional fishery</w:t>
      </w:r>
      <w:r>
        <w:rPr>
          <w:rFonts w:eastAsia="Times New Roman"/>
          <w:bCs/>
          <w:lang w:val="en-US"/>
        </w:rPr>
        <w:t xml:space="preserve"> </w:t>
      </w:r>
      <w:r w:rsidRPr="0033423C">
        <w:rPr>
          <w:rFonts w:eastAsia="Times New Roman"/>
          <w:bCs/>
          <w:lang w:val="en-US"/>
        </w:rPr>
        <w:t>bodies, NGOs, CSOs, fisher and fishworker organizations, FAO and the</w:t>
      </w:r>
      <w:r>
        <w:rPr>
          <w:rFonts w:eastAsia="Times New Roman"/>
          <w:bCs/>
          <w:lang w:val="en-US"/>
        </w:rPr>
        <w:t xml:space="preserve"> </w:t>
      </w:r>
      <w:r w:rsidRPr="0033423C">
        <w:rPr>
          <w:rFonts w:eastAsia="Times New Roman"/>
          <w:bCs/>
          <w:lang w:val="en-US"/>
        </w:rPr>
        <w:t xml:space="preserve">international communities are developed. </w:t>
      </w:r>
    </w:p>
    <w:p w14:paraId="667C1CFD" w14:textId="77777777" w:rsidR="0033423C" w:rsidRDefault="0033423C" w:rsidP="003D5519">
      <w:pPr>
        <w:pStyle w:val="ListParagraph"/>
        <w:spacing w:line="240" w:lineRule="auto"/>
        <w:ind w:left="360"/>
        <w:rPr>
          <w:rFonts w:eastAsia="Times New Roman"/>
          <w:bCs/>
          <w:lang w:val="en-US"/>
        </w:rPr>
      </w:pPr>
    </w:p>
    <w:p w14:paraId="6D0C0160" w14:textId="519474DD" w:rsidR="005C53CB" w:rsidRDefault="000C5E98" w:rsidP="00AB4F90">
      <w:pPr>
        <w:pStyle w:val="ListParagraph"/>
        <w:spacing w:line="240" w:lineRule="auto"/>
        <w:ind w:left="0"/>
        <w:rPr>
          <w:rFonts w:eastAsia="Times New Roman"/>
          <w:bCs/>
          <w:lang w:val="en-US"/>
        </w:rPr>
      </w:pPr>
      <w:r w:rsidRPr="000C5E98">
        <w:rPr>
          <w:rFonts w:eastAsia="Times New Roman"/>
          <w:bCs/>
          <w:lang w:val="en-US"/>
        </w:rPr>
        <w:t>The 32</w:t>
      </w:r>
      <w:r w:rsidRPr="000C5E98">
        <w:rPr>
          <w:rFonts w:eastAsia="Times New Roman"/>
          <w:bCs/>
          <w:vertAlign w:val="superscript"/>
          <w:lang w:val="en-US"/>
        </w:rPr>
        <w:t>nd</w:t>
      </w:r>
      <w:r w:rsidRPr="000C5E98">
        <w:rPr>
          <w:rFonts w:eastAsia="Times New Roman"/>
          <w:bCs/>
          <w:lang w:val="en-US"/>
        </w:rPr>
        <w:t xml:space="preserve"> Session of COFI agreed already in 2016 that the data submitted through the CCRF questionnaire could be used by Members for reporting SDGs indicators.</w:t>
      </w:r>
      <w:r>
        <w:rPr>
          <w:rFonts w:eastAsia="Times New Roman"/>
          <w:bCs/>
          <w:lang w:val="en-US"/>
        </w:rPr>
        <w:t xml:space="preserve"> Furthermore, i</w:t>
      </w:r>
      <w:r w:rsidRPr="000C5E98">
        <w:rPr>
          <w:rFonts w:eastAsia="Times New Roman"/>
          <w:bCs/>
          <w:lang w:val="en-US"/>
        </w:rPr>
        <w:t xml:space="preserve">n July 2017, </w:t>
      </w:r>
      <w:r>
        <w:rPr>
          <w:rFonts w:eastAsia="Times New Roman"/>
          <w:bCs/>
          <w:lang w:val="en-US"/>
        </w:rPr>
        <w:lastRenderedPageBreak/>
        <w:t>FAO</w:t>
      </w:r>
      <w:r w:rsidRPr="000C5E98">
        <w:rPr>
          <w:rFonts w:eastAsia="Times New Roman"/>
          <w:bCs/>
          <w:lang w:val="en-US"/>
        </w:rPr>
        <w:t xml:space="preserve"> informed the COFI Bureau and the Second Informal Meeting for COFI members about progress in developing the reporting sy</w:t>
      </w:r>
      <w:r>
        <w:rPr>
          <w:rFonts w:eastAsia="Times New Roman"/>
          <w:bCs/>
          <w:lang w:val="en-US"/>
        </w:rPr>
        <w:t xml:space="preserve">stem for SDG indicator 14.b.1. </w:t>
      </w:r>
      <w:r w:rsidRPr="000C5E98">
        <w:rPr>
          <w:rFonts w:eastAsia="Times New Roman"/>
          <w:bCs/>
          <w:lang w:val="en-US"/>
        </w:rPr>
        <w:t xml:space="preserve">The COFI Bureau </w:t>
      </w:r>
      <w:r w:rsidRPr="00CD5174">
        <w:rPr>
          <w:rFonts w:eastAsia="Times New Roman"/>
          <w:bCs/>
          <w:u w:val="single"/>
          <w:lang w:val="en-US"/>
        </w:rPr>
        <w:t>welcomed the progress and called upon FAO to proceed with presenting the indicators to the 6</w:t>
      </w:r>
      <w:r w:rsidRPr="00CD5174">
        <w:rPr>
          <w:rFonts w:eastAsia="Times New Roman"/>
          <w:bCs/>
          <w:u w:val="single"/>
          <w:vertAlign w:val="superscript"/>
          <w:lang w:val="en-US"/>
        </w:rPr>
        <w:t>th</w:t>
      </w:r>
      <w:r w:rsidRPr="00CD5174">
        <w:rPr>
          <w:rFonts w:eastAsia="Times New Roman"/>
          <w:bCs/>
          <w:u w:val="single"/>
          <w:lang w:val="en-US"/>
        </w:rPr>
        <w:t xml:space="preserve"> IAEG-SDG with a view to upgrading to Tier II</w:t>
      </w:r>
      <w:r w:rsidRPr="000C5E98">
        <w:rPr>
          <w:rFonts w:eastAsia="Times New Roman"/>
          <w:bCs/>
          <w:lang w:val="en-US"/>
        </w:rPr>
        <w:t>.</w:t>
      </w:r>
    </w:p>
    <w:p w14:paraId="5925C73D" w14:textId="77777777" w:rsidR="000C5E98" w:rsidRPr="000C5E98" w:rsidRDefault="000C5E98" w:rsidP="000C5E98">
      <w:pPr>
        <w:pStyle w:val="ListParagraph"/>
        <w:spacing w:line="240" w:lineRule="auto"/>
        <w:ind w:left="360"/>
        <w:rPr>
          <w:rFonts w:eastAsia="Times New Roman"/>
          <w:bCs/>
          <w:lang w:val="en-US"/>
        </w:rPr>
      </w:pPr>
    </w:p>
    <w:p w14:paraId="07A7D97A" w14:textId="009BC42E" w:rsidR="005C53CB" w:rsidRPr="00BF5874" w:rsidRDefault="006F6CE4" w:rsidP="003D5519">
      <w:pPr>
        <w:pStyle w:val="ListParagraph"/>
        <w:numPr>
          <w:ilvl w:val="0"/>
          <w:numId w:val="2"/>
        </w:numPr>
        <w:spacing w:after="120" w:line="240" w:lineRule="auto"/>
        <w:contextualSpacing w:val="0"/>
        <w:rPr>
          <w:rFonts w:cs="TimesNewRomanPS-BoldMT"/>
          <w:b/>
          <w:bCs/>
        </w:rPr>
      </w:pPr>
      <w:r w:rsidRPr="00BF5874">
        <w:rPr>
          <w:rFonts w:cs="TimesNewRomanPS-BoldMT"/>
          <w:b/>
          <w:bCs/>
        </w:rPr>
        <w:t>Development and testing of the methodology</w:t>
      </w:r>
      <w:r w:rsidR="00BF5874">
        <w:rPr>
          <w:rFonts w:cs="TimesNewRomanPS-BoldMT"/>
          <w:b/>
          <w:bCs/>
        </w:rPr>
        <w:t xml:space="preserve"> </w:t>
      </w:r>
    </w:p>
    <w:p w14:paraId="4B135DB3" w14:textId="64CBF77A" w:rsidR="001713DF" w:rsidRDefault="00F0735B" w:rsidP="00AB4F90">
      <w:pPr>
        <w:pStyle w:val="ListParagraph"/>
        <w:spacing w:line="240" w:lineRule="auto"/>
        <w:ind w:left="0"/>
        <w:rPr>
          <w:rFonts w:eastAsia="Times New Roman"/>
          <w:bCs/>
          <w:lang w:val="en-US"/>
        </w:rPr>
      </w:pPr>
      <w:r w:rsidRPr="005C53CB">
        <w:rPr>
          <w:rFonts w:eastAsia="Times New Roman"/>
          <w:bCs/>
          <w:lang w:val="en-US"/>
        </w:rPr>
        <w:t xml:space="preserve">The methodological development of the indicator began </w:t>
      </w:r>
      <w:r w:rsidR="00975EE2">
        <w:rPr>
          <w:rFonts w:eastAsia="Times New Roman"/>
          <w:bCs/>
          <w:lang w:val="en-US"/>
        </w:rPr>
        <w:t>with a</w:t>
      </w:r>
      <w:r w:rsidRPr="005C53CB">
        <w:rPr>
          <w:rFonts w:eastAsia="Times New Roman"/>
          <w:bCs/>
          <w:lang w:val="en-US"/>
        </w:rPr>
        <w:t xml:space="preserve"> review of the Code of Conduct for Responsible </w:t>
      </w:r>
      <w:r w:rsidR="001713DF">
        <w:rPr>
          <w:rFonts w:eastAsia="Times New Roman"/>
          <w:bCs/>
          <w:lang w:val="en-US"/>
        </w:rPr>
        <w:t>Fisheries questionnaire (CCRF)</w:t>
      </w:r>
      <w:r w:rsidRPr="005C53CB">
        <w:rPr>
          <w:rFonts w:eastAsia="Times New Roman"/>
          <w:bCs/>
          <w:lang w:val="en-US"/>
        </w:rPr>
        <w:t xml:space="preserve"> section on small-scale fisheries as well as of the outcomes of the development process of the </w:t>
      </w:r>
      <w:r w:rsidRPr="00975EE2">
        <w:rPr>
          <w:rFonts w:eastAsia="Times New Roman"/>
          <w:bCs/>
          <w:i/>
          <w:lang w:val="en-US"/>
        </w:rPr>
        <w:t>Voluntary Guidelines for Securing Sustainable Small-Scale Fisheries in the Context of Food Security and Poverty Eradication</w:t>
      </w:r>
      <w:r w:rsidRPr="005C53CB">
        <w:rPr>
          <w:rFonts w:eastAsia="Times New Roman"/>
          <w:bCs/>
          <w:lang w:val="en-US"/>
        </w:rPr>
        <w:t xml:space="preserve"> (SSF Guidelines), which directly involved over 4,000 stakeholders from over 120 countries between 2011-2014, representing governments, regional organizations, academia, civil society organizations and other relevant partners. The SSF Guidelines include specific chapter</w:t>
      </w:r>
      <w:r w:rsidR="00757A9E">
        <w:rPr>
          <w:rFonts w:eastAsia="Times New Roman"/>
          <w:bCs/>
          <w:lang w:val="en-US"/>
        </w:rPr>
        <w:t>s</w:t>
      </w:r>
      <w:r w:rsidRPr="005C53CB">
        <w:rPr>
          <w:rFonts w:eastAsia="Times New Roman"/>
          <w:bCs/>
          <w:lang w:val="en-US"/>
        </w:rPr>
        <w:t xml:space="preserve"> on the responsible governance of tenure as well as on value chains, post-harvest and trade, in line with SDG </w:t>
      </w:r>
      <w:r w:rsidR="00AB4F90">
        <w:rPr>
          <w:rFonts w:eastAsia="Times New Roman"/>
          <w:bCs/>
          <w:lang w:val="en-US"/>
        </w:rPr>
        <w:t xml:space="preserve">target </w:t>
      </w:r>
      <w:r w:rsidRPr="005C53CB">
        <w:rPr>
          <w:rFonts w:eastAsia="Times New Roman"/>
          <w:bCs/>
          <w:lang w:val="en-US"/>
        </w:rPr>
        <w:t xml:space="preserve">14.b </w:t>
      </w:r>
      <w:r w:rsidR="00757A9E">
        <w:rPr>
          <w:rFonts w:eastAsia="Times New Roman"/>
          <w:bCs/>
          <w:lang w:val="en-US"/>
        </w:rPr>
        <w:t>‘</w:t>
      </w:r>
      <w:r w:rsidRPr="005C53CB">
        <w:rPr>
          <w:rFonts w:eastAsia="Times New Roman"/>
          <w:bCs/>
          <w:lang w:val="en-US"/>
        </w:rPr>
        <w:t>Provide access for small-scale artisanal fishers to marine resources and markets</w:t>
      </w:r>
      <w:r w:rsidR="00757A9E">
        <w:rPr>
          <w:rFonts w:eastAsia="Times New Roman"/>
          <w:bCs/>
          <w:lang w:val="en-US"/>
        </w:rPr>
        <w:t>’</w:t>
      </w:r>
      <w:r w:rsidRPr="005C53CB">
        <w:rPr>
          <w:rFonts w:eastAsia="Times New Roman"/>
          <w:bCs/>
          <w:lang w:val="en-US"/>
        </w:rPr>
        <w:t xml:space="preserve">. </w:t>
      </w:r>
    </w:p>
    <w:p w14:paraId="18CB6A1A" w14:textId="17B2761F" w:rsidR="00E81A68" w:rsidRDefault="00E81A68" w:rsidP="00E81A68">
      <w:pPr>
        <w:spacing w:before="120" w:after="0" w:line="259" w:lineRule="auto"/>
      </w:pPr>
      <w:r>
        <w:t>FAO has acknowledged the IAEG-SDG’s previous concerns that this indicator is difficult to interpret given the way that the respective scores are computed. The reason for this is that the proposed methodology seek</w:t>
      </w:r>
      <w:r w:rsidR="00E76C7C">
        <w:t>s</w:t>
      </w:r>
      <w:r>
        <w:t xml:space="preserve"> to measure the </w:t>
      </w:r>
      <w:r w:rsidRPr="00E81A68">
        <w:rPr>
          <w:u w:val="single"/>
        </w:rPr>
        <w:t xml:space="preserve">degree of implementation </w:t>
      </w:r>
      <w:r>
        <w:t xml:space="preserve">of a </w:t>
      </w:r>
      <w:r w:rsidRPr="00E81A68">
        <w:rPr>
          <w:u w:val="single"/>
        </w:rPr>
        <w:t>range of international instruments</w:t>
      </w:r>
      <w:r>
        <w:t xml:space="preserve"> protecting small-scale fisheries. This is consistent with the title formulation of the indicator. Therefore, it is not deemed sufficient to simply count the number of countries that have ratified a particular instrument, but to go further by probing into policy, legal, institutional and operational initiatives taken to implement these instruments in practice.</w:t>
      </w:r>
    </w:p>
    <w:p w14:paraId="7FE1E998" w14:textId="77777777" w:rsidR="00E81A68" w:rsidRPr="00E81A68" w:rsidRDefault="00E81A68" w:rsidP="00AB4F90">
      <w:pPr>
        <w:pStyle w:val="ListParagraph"/>
        <w:spacing w:line="240" w:lineRule="auto"/>
        <w:ind w:left="0"/>
        <w:rPr>
          <w:rFonts w:eastAsia="Times New Roman"/>
          <w:bCs/>
        </w:rPr>
      </w:pPr>
    </w:p>
    <w:p w14:paraId="07FAB191" w14:textId="2A3129D1" w:rsidR="00757A9E" w:rsidRDefault="00E81A68" w:rsidP="00AB4F90">
      <w:pPr>
        <w:pStyle w:val="ListParagraph"/>
        <w:spacing w:line="240" w:lineRule="auto"/>
        <w:ind w:left="0"/>
        <w:rPr>
          <w:rFonts w:eastAsia="Times New Roman"/>
          <w:bCs/>
          <w:lang w:val="en-US"/>
        </w:rPr>
      </w:pPr>
      <w:r>
        <w:rPr>
          <w:rFonts w:eastAsia="Times New Roman"/>
          <w:bCs/>
          <w:lang w:val="en-US"/>
        </w:rPr>
        <w:t>As such, and i</w:t>
      </w:r>
      <w:r w:rsidR="00757A9E" w:rsidRPr="00757A9E">
        <w:rPr>
          <w:rFonts w:eastAsia="Times New Roman"/>
          <w:bCs/>
          <w:lang w:val="en-US"/>
        </w:rPr>
        <w:t>n order to guarantee secure access, an enabling environment is necessary which recognizes and protects small-scale fisheries rights. Such an enabling environment has three key features:</w:t>
      </w:r>
    </w:p>
    <w:p w14:paraId="08CCF8F1" w14:textId="77777777" w:rsidR="00757A9E" w:rsidRPr="00757A9E" w:rsidRDefault="00757A9E" w:rsidP="00AB4F90">
      <w:pPr>
        <w:pStyle w:val="ListParagraph"/>
        <w:spacing w:line="240" w:lineRule="auto"/>
        <w:ind w:left="0"/>
        <w:rPr>
          <w:rFonts w:eastAsia="Times New Roman"/>
          <w:bCs/>
          <w:lang w:val="en-US"/>
        </w:rPr>
      </w:pPr>
    </w:p>
    <w:p w14:paraId="377ABE00" w14:textId="6929477C" w:rsidR="00757A9E" w:rsidRPr="00757A9E" w:rsidRDefault="00757A9E" w:rsidP="00AB4F90">
      <w:pPr>
        <w:pStyle w:val="ListParagraph"/>
        <w:numPr>
          <w:ilvl w:val="0"/>
          <w:numId w:val="5"/>
        </w:numPr>
        <w:spacing w:line="240" w:lineRule="auto"/>
        <w:ind w:left="709"/>
        <w:rPr>
          <w:rFonts w:eastAsia="Times New Roman"/>
          <w:bCs/>
          <w:lang w:val="en-US"/>
        </w:rPr>
      </w:pPr>
      <w:r w:rsidRPr="00757A9E">
        <w:rPr>
          <w:rFonts w:eastAsia="Times New Roman"/>
          <w:bCs/>
          <w:lang w:val="en-US"/>
        </w:rPr>
        <w:t xml:space="preserve">Appropriate legal, regulatory and policy frameworks </w:t>
      </w:r>
    </w:p>
    <w:p w14:paraId="7AD7D3EC" w14:textId="7833E0AF" w:rsidR="00757A9E" w:rsidRPr="00757A9E" w:rsidRDefault="00757A9E" w:rsidP="00AB4F90">
      <w:pPr>
        <w:pStyle w:val="ListParagraph"/>
        <w:numPr>
          <w:ilvl w:val="0"/>
          <w:numId w:val="5"/>
        </w:numPr>
        <w:spacing w:line="240" w:lineRule="auto"/>
        <w:ind w:left="709"/>
        <w:rPr>
          <w:rFonts w:eastAsia="Times New Roman"/>
          <w:bCs/>
          <w:lang w:val="en-US"/>
        </w:rPr>
      </w:pPr>
      <w:r w:rsidRPr="00757A9E">
        <w:rPr>
          <w:rFonts w:eastAsia="Times New Roman"/>
          <w:bCs/>
          <w:lang w:val="en-US"/>
        </w:rPr>
        <w:t>Specific initiatives to support small-scale fisheries and</w:t>
      </w:r>
    </w:p>
    <w:p w14:paraId="44EA0157" w14:textId="793F8E9C" w:rsidR="00757A9E" w:rsidRDefault="00757A9E" w:rsidP="00AB4F90">
      <w:pPr>
        <w:pStyle w:val="ListParagraph"/>
        <w:numPr>
          <w:ilvl w:val="0"/>
          <w:numId w:val="5"/>
        </w:numPr>
        <w:spacing w:line="240" w:lineRule="auto"/>
        <w:ind w:left="709"/>
        <w:rPr>
          <w:rFonts w:eastAsia="Times New Roman"/>
          <w:bCs/>
          <w:lang w:val="en-US"/>
        </w:rPr>
      </w:pPr>
      <w:r w:rsidRPr="00757A9E">
        <w:rPr>
          <w:rFonts w:eastAsia="Times New Roman"/>
          <w:bCs/>
          <w:lang w:val="en-US"/>
        </w:rPr>
        <w:t xml:space="preserve">Related institutional mechanisms which allow for the participation of small-scale fisheries organisations in relevant processes. </w:t>
      </w:r>
    </w:p>
    <w:p w14:paraId="3A76F5FD" w14:textId="77777777" w:rsidR="00757A9E" w:rsidRPr="00757A9E" w:rsidRDefault="00757A9E" w:rsidP="00AB4F90">
      <w:pPr>
        <w:pStyle w:val="ListParagraph"/>
        <w:spacing w:line="240" w:lineRule="auto"/>
        <w:ind w:left="0"/>
        <w:rPr>
          <w:rFonts w:eastAsia="Times New Roman"/>
          <w:bCs/>
          <w:lang w:val="en-US"/>
        </w:rPr>
      </w:pPr>
    </w:p>
    <w:p w14:paraId="6CCF533A" w14:textId="777285AC" w:rsidR="00757A9E" w:rsidRDefault="00757A9E" w:rsidP="00AB4F90">
      <w:pPr>
        <w:pStyle w:val="ListParagraph"/>
        <w:spacing w:line="240" w:lineRule="auto"/>
        <w:ind w:left="0"/>
        <w:rPr>
          <w:rFonts w:eastAsia="Times New Roman"/>
          <w:bCs/>
          <w:lang w:val="en-US"/>
        </w:rPr>
      </w:pPr>
      <w:r w:rsidRPr="00757A9E">
        <w:rPr>
          <w:rFonts w:eastAsia="Times New Roman"/>
          <w:bCs/>
          <w:lang w:val="en-US"/>
        </w:rPr>
        <w:t>The indicator variables are therefore chosen from three of the five questions on small-scale fisheries of the CCRF questionnaire to reflect these three aspects. The national indicator is calculated based on these questions specifically focusing on actual efforts of promoting and facilitating access rights to small scale fisheries.</w:t>
      </w:r>
    </w:p>
    <w:p w14:paraId="7F7F0BD8" w14:textId="47F6611E" w:rsidR="00AB4F90" w:rsidRDefault="00AB4F90" w:rsidP="00AB4F90">
      <w:pPr>
        <w:pStyle w:val="ListParagraph"/>
        <w:spacing w:line="240" w:lineRule="auto"/>
        <w:ind w:left="0"/>
        <w:rPr>
          <w:rFonts w:eastAsia="Times New Roman"/>
          <w:bCs/>
          <w:lang w:val="en-US"/>
        </w:rPr>
      </w:pPr>
    </w:p>
    <w:p w14:paraId="38BCEFC2" w14:textId="65216921" w:rsidR="00AB4F90" w:rsidRPr="00AB4F90" w:rsidRDefault="00975EE2" w:rsidP="00AB4F90">
      <w:pPr>
        <w:pStyle w:val="ListParagraph"/>
        <w:spacing w:line="240" w:lineRule="auto"/>
        <w:ind w:left="0"/>
        <w:rPr>
          <w:rFonts w:eastAsia="Times New Roman"/>
          <w:bCs/>
          <w:lang w:val="en-US"/>
        </w:rPr>
      </w:pPr>
      <w:r>
        <w:rPr>
          <w:rFonts w:eastAsia="Times New Roman"/>
          <w:bCs/>
          <w:lang w:val="en-US"/>
        </w:rPr>
        <w:t>More recently, t</w:t>
      </w:r>
      <w:r w:rsidR="00AB4F90" w:rsidRPr="00AB4F90">
        <w:rPr>
          <w:rFonts w:eastAsia="Times New Roman"/>
          <w:bCs/>
          <w:lang w:val="en-US"/>
        </w:rPr>
        <w:t>he workshop ‘Exploring SDG 14.b and its proposed indicator 14.b.1’ held in Gaeta, Italy on 28-29 November 2017</w:t>
      </w:r>
      <w:r>
        <w:rPr>
          <w:rFonts w:eastAsia="Times New Roman"/>
          <w:bCs/>
          <w:lang w:val="en-US"/>
        </w:rPr>
        <w:t>,</w:t>
      </w:r>
      <w:r w:rsidR="00AB4F90" w:rsidRPr="00AB4F90">
        <w:rPr>
          <w:rFonts w:eastAsia="Times New Roman"/>
          <w:bCs/>
          <w:lang w:val="en-US"/>
        </w:rPr>
        <w:t xml:space="preserve"> brought together about twenty three participants, representing governments, civil society organizations,</w:t>
      </w:r>
      <w:r>
        <w:rPr>
          <w:rFonts w:eastAsia="Times New Roman"/>
          <w:bCs/>
          <w:lang w:val="en-US"/>
        </w:rPr>
        <w:t xml:space="preserve"> regional organizations and FAO</w:t>
      </w:r>
      <w:r w:rsidR="00AB4F90" w:rsidRPr="00AB4F90">
        <w:rPr>
          <w:rFonts w:eastAsia="Times New Roman"/>
          <w:bCs/>
          <w:lang w:val="en-US"/>
        </w:rPr>
        <w:t>. The workshop had the expected outputs of creating awareness on SDG 14.b and its</w:t>
      </w:r>
      <w:r>
        <w:rPr>
          <w:rFonts w:eastAsia="Times New Roman"/>
          <w:bCs/>
          <w:lang w:val="en-US"/>
        </w:rPr>
        <w:t xml:space="preserve"> proposed</w:t>
      </w:r>
      <w:r w:rsidR="00AB4F90" w:rsidRPr="00AB4F90">
        <w:rPr>
          <w:rFonts w:eastAsia="Times New Roman"/>
          <w:bCs/>
          <w:lang w:val="en-US"/>
        </w:rPr>
        <w:t xml:space="preserve"> indicator 14.b.1, exploring the methodology for reporting on the indicator and identifying related capacity development needs. </w:t>
      </w:r>
    </w:p>
    <w:p w14:paraId="51F89B48" w14:textId="206E52C3" w:rsidR="00AB4F90" w:rsidRPr="00975EE2" w:rsidRDefault="00975EE2" w:rsidP="00975EE2">
      <w:pPr>
        <w:spacing w:line="240" w:lineRule="auto"/>
        <w:rPr>
          <w:rFonts w:eastAsia="Times New Roman"/>
          <w:bCs/>
          <w:lang w:val="en-US"/>
        </w:rPr>
      </w:pPr>
      <w:r>
        <w:rPr>
          <w:rFonts w:eastAsia="Times New Roman"/>
          <w:bCs/>
          <w:lang w:val="en-US"/>
        </w:rPr>
        <w:t xml:space="preserve">In February 2018, </w:t>
      </w:r>
      <w:r w:rsidR="00AB4F90" w:rsidRPr="00975EE2">
        <w:rPr>
          <w:rFonts w:eastAsia="Times New Roman"/>
          <w:bCs/>
          <w:lang w:val="en-US"/>
        </w:rPr>
        <w:t xml:space="preserve">FAO </w:t>
      </w:r>
      <w:r>
        <w:rPr>
          <w:rFonts w:eastAsia="Times New Roman"/>
          <w:bCs/>
          <w:lang w:val="en-US"/>
        </w:rPr>
        <w:t>launched</w:t>
      </w:r>
      <w:r w:rsidR="00AB4F90" w:rsidRPr="00975EE2">
        <w:rPr>
          <w:rFonts w:eastAsia="Times New Roman"/>
          <w:bCs/>
          <w:lang w:val="en-US"/>
        </w:rPr>
        <w:t xml:space="preserve"> an e-learning course on SDG </w:t>
      </w:r>
      <w:r>
        <w:rPr>
          <w:rFonts w:eastAsia="Times New Roman"/>
          <w:bCs/>
          <w:lang w:val="en-US"/>
        </w:rPr>
        <w:t xml:space="preserve">indicator </w:t>
      </w:r>
      <w:r w:rsidR="00AB4F90" w:rsidRPr="00975EE2">
        <w:rPr>
          <w:rFonts w:eastAsia="Times New Roman"/>
          <w:bCs/>
          <w:lang w:val="en-US"/>
        </w:rPr>
        <w:t xml:space="preserve">14.b.1, which is available in English at </w:t>
      </w:r>
      <w:hyperlink r:id="rId8" w:anchor="/elc/en/course/SDG14B1" w:history="1">
        <w:r w:rsidRPr="00764522">
          <w:rPr>
            <w:rStyle w:val="Hyperlink"/>
            <w:rFonts w:eastAsia="Times New Roman"/>
            <w:bCs/>
            <w:lang w:val="en-US"/>
          </w:rPr>
          <w:t>http://www.fao.org/elearning/#/elc/en/course/SDG14B1</w:t>
        </w:r>
      </w:hyperlink>
      <w:r w:rsidR="00AB4F90" w:rsidRPr="00975EE2">
        <w:rPr>
          <w:rFonts w:eastAsia="Times New Roman"/>
          <w:bCs/>
          <w:lang w:val="en-US"/>
        </w:rPr>
        <w:t xml:space="preserve">. The French, Spanish, Russian, Chinese and Arabic versions </w:t>
      </w:r>
      <w:r>
        <w:rPr>
          <w:rFonts w:eastAsia="Times New Roman"/>
          <w:bCs/>
          <w:lang w:val="en-US"/>
        </w:rPr>
        <w:t>will be</w:t>
      </w:r>
      <w:r w:rsidR="00AB4F90" w:rsidRPr="00975EE2">
        <w:rPr>
          <w:rFonts w:eastAsia="Times New Roman"/>
          <w:bCs/>
          <w:lang w:val="en-US"/>
        </w:rPr>
        <w:t xml:space="preserve"> released</w:t>
      </w:r>
      <w:r>
        <w:rPr>
          <w:rFonts w:eastAsia="Times New Roman"/>
          <w:bCs/>
          <w:lang w:val="en-US"/>
        </w:rPr>
        <w:t xml:space="preserve"> in the next few weeks</w:t>
      </w:r>
      <w:r w:rsidR="00AB4F90" w:rsidRPr="00975EE2">
        <w:rPr>
          <w:rFonts w:eastAsia="Times New Roman"/>
          <w:bCs/>
          <w:lang w:val="en-US"/>
        </w:rPr>
        <w:t>.</w:t>
      </w:r>
    </w:p>
    <w:p w14:paraId="77450F5A" w14:textId="77777777" w:rsidR="006F6CE4" w:rsidRPr="00817A50" w:rsidRDefault="006F6CE4" w:rsidP="003D5519">
      <w:pPr>
        <w:pStyle w:val="ListParagraph"/>
        <w:numPr>
          <w:ilvl w:val="0"/>
          <w:numId w:val="2"/>
        </w:numPr>
        <w:spacing w:after="120" w:line="240" w:lineRule="auto"/>
        <w:contextualSpacing w:val="0"/>
        <w:rPr>
          <w:b/>
          <w:bCs/>
          <w:lang w:val="en-US"/>
        </w:rPr>
      </w:pPr>
      <w:r w:rsidRPr="006F6CE4">
        <w:rPr>
          <w:rFonts w:eastAsia="Times New Roman"/>
          <w:b/>
          <w:bCs/>
          <w:lang w:val="en-US"/>
        </w:rPr>
        <w:t xml:space="preserve">Result of the pilot studies and list of countries </w:t>
      </w:r>
      <w:r w:rsidR="00540980">
        <w:rPr>
          <w:rFonts w:eastAsia="Times New Roman"/>
          <w:b/>
          <w:bCs/>
          <w:lang w:val="en-US"/>
        </w:rPr>
        <w:t xml:space="preserve">consulted </w:t>
      </w:r>
      <w:r w:rsidRPr="006F6CE4">
        <w:rPr>
          <w:rFonts w:eastAsia="Times New Roman"/>
          <w:b/>
          <w:bCs/>
          <w:lang w:val="en-US"/>
        </w:rPr>
        <w:t>that are regionally representative</w:t>
      </w:r>
    </w:p>
    <w:p w14:paraId="1640A245" w14:textId="1FF1A962" w:rsidR="005A6433" w:rsidRDefault="000C5E98" w:rsidP="00975EE2">
      <w:pPr>
        <w:pStyle w:val="ListParagraph"/>
        <w:spacing w:line="240" w:lineRule="auto"/>
        <w:ind w:left="0"/>
        <w:rPr>
          <w:bCs/>
          <w:lang w:val="en-US"/>
        </w:rPr>
      </w:pPr>
      <w:r>
        <w:rPr>
          <w:bCs/>
          <w:lang w:val="en-US"/>
        </w:rPr>
        <w:t>Pilot studies are not applicable to this indicator</w:t>
      </w:r>
      <w:r w:rsidR="006C5874">
        <w:rPr>
          <w:bCs/>
          <w:lang w:val="en-US"/>
        </w:rPr>
        <w:t xml:space="preserve"> and no further testing is necessary</w:t>
      </w:r>
      <w:r>
        <w:rPr>
          <w:bCs/>
          <w:lang w:val="en-US"/>
        </w:rPr>
        <w:t xml:space="preserve">, because </w:t>
      </w:r>
      <w:r w:rsidR="006C5874">
        <w:rPr>
          <w:bCs/>
          <w:lang w:val="en-US"/>
        </w:rPr>
        <w:t>the indicator</w:t>
      </w:r>
      <w:r>
        <w:rPr>
          <w:bCs/>
          <w:lang w:val="en-US"/>
        </w:rPr>
        <w:t xml:space="preserve"> relies on an </w:t>
      </w:r>
      <w:r w:rsidRPr="000C5E98">
        <w:rPr>
          <w:bCs/>
          <w:u w:val="single"/>
          <w:lang w:val="en-US"/>
        </w:rPr>
        <w:t>already well-established reporting process</w:t>
      </w:r>
      <w:r>
        <w:rPr>
          <w:bCs/>
          <w:lang w:val="en-US"/>
        </w:rPr>
        <w:t xml:space="preserve"> and a </w:t>
      </w:r>
      <w:r w:rsidRPr="000C5E98">
        <w:rPr>
          <w:bCs/>
          <w:u w:val="single"/>
          <w:lang w:val="en-US"/>
        </w:rPr>
        <w:t>definite sub-set of questions</w:t>
      </w:r>
      <w:r w:rsidR="004813AC">
        <w:rPr>
          <w:bCs/>
          <w:lang w:val="en-US"/>
        </w:rPr>
        <w:t xml:space="preserve">, </w:t>
      </w:r>
      <w:r>
        <w:rPr>
          <w:bCs/>
          <w:lang w:val="en-US"/>
        </w:rPr>
        <w:lastRenderedPageBreak/>
        <w:t xml:space="preserve">already in place in 2016 and included once again in the 2018 round of the CCRF questionnaire. More specifically, in </w:t>
      </w:r>
      <w:r w:rsidR="004813AC">
        <w:rPr>
          <w:bCs/>
          <w:lang w:val="en-US"/>
        </w:rPr>
        <w:t>2016</w:t>
      </w:r>
      <w:r>
        <w:rPr>
          <w:bCs/>
          <w:lang w:val="en-US"/>
        </w:rPr>
        <w:t>,</w:t>
      </w:r>
      <w:r w:rsidR="004813AC">
        <w:rPr>
          <w:bCs/>
          <w:lang w:val="en-US"/>
        </w:rPr>
        <w:t xml:space="preserve"> </w:t>
      </w:r>
      <w:r w:rsidR="00817A50" w:rsidRPr="004813AC">
        <w:rPr>
          <w:bCs/>
          <w:lang w:val="en-US"/>
        </w:rPr>
        <w:t xml:space="preserve">92 Members and the European Union (EU) responded to the section on small-scale fisheries of the CCRF questionnaire. </w:t>
      </w:r>
      <w:r w:rsidR="005A6433" w:rsidRPr="004813AC">
        <w:rPr>
          <w:bCs/>
          <w:lang w:val="en-US"/>
        </w:rPr>
        <w:t xml:space="preserve">The metadata file submitted with this tier-reclassification request provides the full overview of the indicator for the countries that submitted data. </w:t>
      </w:r>
      <w:r w:rsidR="009674BF">
        <w:rPr>
          <w:bCs/>
          <w:lang w:val="en-US"/>
        </w:rPr>
        <w:t xml:space="preserve">It should be noted that </w:t>
      </w:r>
      <w:r w:rsidR="003F22EF">
        <w:rPr>
          <w:bCs/>
          <w:lang w:val="en-US"/>
        </w:rPr>
        <w:t xml:space="preserve">while </w:t>
      </w:r>
      <w:r w:rsidR="009674BF">
        <w:rPr>
          <w:bCs/>
          <w:lang w:val="en-US"/>
        </w:rPr>
        <w:t xml:space="preserve">target 14.b refers to </w:t>
      </w:r>
      <w:r w:rsidR="009674BF" w:rsidRPr="009674BF">
        <w:rPr>
          <w:bCs/>
          <w:lang w:val="en-US"/>
        </w:rPr>
        <w:t xml:space="preserve">access for small-scale artisanal fishers to </w:t>
      </w:r>
      <w:r w:rsidR="009674BF" w:rsidRPr="00FA61A2">
        <w:rPr>
          <w:bCs/>
          <w:lang w:val="en-US"/>
        </w:rPr>
        <w:t>marine</w:t>
      </w:r>
      <w:r w:rsidR="009674BF" w:rsidRPr="009674BF">
        <w:rPr>
          <w:bCs/>
          <w:lang w:val="en-US"/>
        </w:rPr>
        <w:t xml:space="preserve"> resources and markets</w:t>
      </w:r>
      <w:r w:rsidR="003F22EF">
        <w:rPr>
          <w:bCs/>
          <w:lang w:val="en-US"/>
        </w:rPr>
        <w:t xml:space="preserve"> some landlocked countries with inland fisheries have taken the opportunity to report on this indicator. </w:t>
      </w:r>
    </w:p>
    <w:p w14:paraId="2A77E6D5" w14:textId="77777777" w:rsidR="00817A50" w:rsidRPr="006F6CE4" w:rsidRDefault="00817A50" w:rsidP="003D5519">
      <w:pPr>
        <w:pStyle w:val="ListParagraph"/>
        <w:spacing w:after="120" w:line="240" w:lineRule="auto"/>
        <w:ind w:left="360"/>
        <w:contextualSpacing w:val="0"/>
        <w:rPr>
          <w:b/>
          <w:bCs/>
          <w:lang w:val="en-US"/>
        </w:rPr>
      </w:pPr>
    </w:p>
    <w:p w14:paraId="317CDF2B" w14:textId="74BE9E5D" w:rsidR="006F6CE4" w:rsidRPr="006F6CE4" w:rsidRDefault="00922A19" w:rsidP="003D5519">
      <w:pPr>
        <w:pStyle w:val="ListParagraph"/>
        <w:numPr>
          <w:ilvl w:val="0"/>
          <w:numId w:val="2"/>
        </w:numPr>
        <w:spacing w:after="120" w:line="240" w:lineRule="auto"/>
        <w:contextualSpacing w:val="0"/>
        <w:rPr>
          <w:rFonts w:cs="TimesNewRomanPS-BoldMT"/>
          <w:b/>
          <w:bCs/>
        </w:rPr>
      </w:pPr>
      <w:r>
        <w:rPr>
          <w:rFonts w:cs="TimesNewRomanPS-BoldMT"/>
          <w:b/>
          <w:bCs/>
          <w:lang w:val="en-US"/>
        </w:rPr>
        <w:t>Additional details</w:t>
      </w:r>
    </w:p>
    <w:p w14:paraId="45A82878" w14:textId="478F22AB" w:rsidR="006C5874" w:rsidRDefault="00817A50" w:rsidP="00975EE2">
      <w:pPr>
        <w:spacing w:after="120" w:line="240" w:lineRule="auto"/>
        <w:rPr>
          <w:bCs/>
          <w:lang w:val="en-US"/>
        </w:rPr>
      </w:pPr>
      <w:r w:rsidRPr="00612AD9">
        <w:rPr>
          <w:bCs/>
          <w:lang w:val="en-US"/>
        </w:rPr>
        <w:t xml:space="preserve">The indicator relies on data generated through the CCRF questionnaire which is filled in by countries on a biannual basis. To facilitate reporting of the CCRF-based SDG indicators, </w:t>
      </w:r>
      <w:r w:rsidRPr="00B17F19">
        <w:rPr>
          <w:bCs/>
          <w:u w:val="single"/>
          <w:lang w:val="en-US"/>
        </w:rPr>
        <w:t>a tailor-made data processing tool</w:t>
      </w:r>
      <w:r w:rsidRPr="00612AD9">
        <w:rPr>
          <w:bCs/>
          <w:lang w:val="en-US"/>
        </w:rPr>
        <w:t xml:space="preserve"> </w:t>
      </w:r>
      <w:r w:rsidR="006C5874">
        <w:rPr>
          <w:bCs/>
          <w:lang w:val="en-US"/>
        </w:rPr>
        <w:t xml:space="preserve">has been </w:t>
      </w:r>
      <w:r w:rsidRPr="00612AD9">
        <w:rPr>
          <w:bCs/>
          <w:lang w:val="en-US"/>
        </w:rPr>
        <w:t xml:space="preserve">developed within the framework of the existing CCRF questionnaire </w:t>
      </w:r>
      <w:r w:rsidR="006C5874">
        <w:rPr>
          <w:bCs/>
          <w:lang w:val="en-US"/>
        </w:rPr>
        <w:t xml:space="preserve">online </w:t>
      </w:r>
      <w:r w:rsidRPr="00612AD9">
        <w:rPr>
          <w:bCs/>
          <w:lang w:val="en-US"/>
        </w:rPr>
        <w:t>platform. Upon submission of the questionnaire by the user, an indicator report will automatically be generated for final validation by the country.</w:t>
      </w:r>
      <w:r w:rsidR="00B17F19">
        <w:rPr>
          <w:bCs/>
          <w:lang w:val="en-US"/>
        </w:rPr>
        <w:t xml:space="preserve"> The tool has been put in dormant state, pending the approval of the indicator methodology by the IAEG-SDG.</w:t>
      </w:r>
    </w:p>
    <w:p w14:paraId="6C7E059D" w14:textId="5D54B9D2" w:rsidR="006F6CE4" w:rsidRDefault="006C5874" w:rsidP="00975EE2">
      <w:pPr>
        <w:spacing w:after="120" w:line="240" w:lineRule="auto"/>
        <w:rPr>
          <w:rFonts w:cs="TimesNewRomanPS-BoldMT"/>
          <w:b/>
          <w:bCs/>
        </w:rPr>
      </w:pPr>
      <w:r>
        <w:rPr>
          <w:bCs/>
          <w:lang w:val="en-US"/>
        </w:rPr>
        <w:t>This cover note is submitted in conjunction with draft metadata including the specific questions and scoring system used, as well as draft country estimates for 2016 and 2018.</w:t>
      </w:r>
      <w:r w:rsidR="00EF76F0">
        <w:rPr>
          <w:bCs/>
          <w:lang w:val="en-US"/>
        </w:rPr>
        <w:t xml:space="preserve"> The draft metadata have been amended following the 6</w:t>
      </w:r>
      <w:r w:rsidR="00EF76F0" w:rsidRPr="00EF76F0">
        <w:rPr>
          <w:bCs/>
          <w:vertAlign w:val="superscript"/>
          <w:lang w:val="en-US"/>
        </w:rPr>
        <w:t>th</w:t>
      </w:r>
      <w:r w:rsidR="00EF76F0">
        <w:rPr>
          <w:bCs/>
          <w:lang w:val="en-US"/>
        </w:rPr>
        <w:t xml:space="preserve"> IAEG-SDG, whereby </w:t>
      </w:r>
      <w:r w:rsidR="00EF76F0" w:rsidRPr="00B17F19">
        <w:rPr>
          <w:bCs/>
          <w:u w:val="single"/>
          <w:lang w:val="en-US"/>
        </w:rPr>
        <w:t>in order to aid the interpretation</w:t>
      </w:r>
      <w:r w:rsidR="00EF76F0">
        <w:rPr>
          <w:bCs/>
          <w:lang w:val="en-US"/>
        </w:rPr>
        <w:t xml:space="preserve"> of the </w:t>
      </w:r>
      <w:r w:rsidR="00EF76F0" w:rsidRPr="00EF76F0">
        <w:rPr>
          <w:bCs/>
          <w:lang w:val="en-US"/>
        </w:rPr>
        <w:t>i</w:t>
      </w:r>
      <w:r w:rsidR="00EF76F0">
        <w:rPr>
          <w:bCs/>
          <w:lang w:val="en-US"/>
        </w:rPr>
        <w:t>ndicator</w:t>
      </w:r>
      <w:r w:rsidR="00EF76F0" w:rsidRPr="00EF76F0">
        <w:rPr>
          <w:bCs/>
          <w:lang w:val="en-US"/>
        </w:rPr>
        <w:t xml:space="preserve">, </w:t>
      </w:r>
      <w:r w:rsidR="00EF76F0">
        <w:rPr>
          <w:bCs/>
          <w:lang w:val="en-US"/>
        </w:rPr>
        <w:t xml:space="preserve">a classification system has been introduced to rank countries </w:t>
      </w:r>
      <w:r w:rsidR="00EF76F0" w:rsidRPr="00EF76F0">
        <w:rPr>
          <w:bCs/>
          <w:lang w:val="en-US"/>
        </w:rPr>
        <w:t>according to the degree of implementation of instruments p</w:t>
      </w:r>
      <w:r w:rsidR="00EF76F0">
        <w:rPr>
          <w:bCs/>
          <w:lang w:val="en-US"/>
        </w:rPr>
        <w:t>rotecting small-scale fisheries. Therefore, o</w:t>
      </w:r>
      <w:r w:rsidR="00EF76F0" w:rsidRPr="00EF76F0">
        <w:rPr>
          <w:bCs/>
          <w:lang w:val="en-US"/>
        </w:rPr>
        <w:t xml:space="preserve">nce the </w:t>
      </w:r>
      <w:r w:rsidR="00EF76F0">
        <w:rPr>
          <w:bCs/>
          <w:lang w:val="en-US"/>
        </w:rPr>
        <w:t xml:space="preserve">specific </w:t>
      </w:r>
      <w:r w:rsidR="00EF76F0" w:rsidRPr="00EF76F0">
        <w:rPr>
          <w:bCs/>
          <w:lang w:val="en-US"/>
        </w:rPr>
        <w:t>score has been determined for each country, countries will be cl</w:t>
      </w:r>
      <w:r w:rsidR="00EF76F0">
        <w:rPr>
          <w:bCs/>
          <w:lang w:val="en-US"/>
        </w:rPr>
        <w:t>assified into a number of bands, ranging f</w:t>
      </w:r>
      <w:r w:rsidR="00EF76F0" w:rsidRPr="00EF76F0">
        <w:rPr>
          <w:bCs/>
          <w:lang w:val="en-US"/>
        </w:rPr>
        <w:t xml:space="preserve">rom a low to a high degree of implementation, and </w:t>
      </w:r>
      <w:r w:rsidR="00EF76F0">
        <w:rPr>
          <w:bCs/>
          <w:lang w:val="en-US"/>
        </w:rPr>
        <w:t xml:space="preserve">thus </w:t>
      </w:r>
      <w:r w:rsidR="00EF76F0" w:rsidRPr="00EF76F0">
        <w:rPr>
          <w:bCs/>
          <w:lang w:val="en-US"/>
        </w:rPr>
        <w:t xml:space="preserve">effectively translate a synthetic score into a tangible and intuitive metric for countries. </w:t>
      </w:r>
      <w:r>
        <w:rPr>
          <w:bCs/>
          <w:lang w:val="en-US"/>
        </w:rPr>
        <w:t xml:space="preserve"> </w:t>
      </w:r>
    </w:p>
    <w:p w14:paraId="39AA55D7" w14:textId="1550000F" w:rsidR="006F6CE4" w:rsidRPr="00B17F19" w:rsidRDefault="00B17F19" w:rsidP="00B17F19">
      <w:pPr>
        <w:spacing w:after="120" w:line="240" w:lineRule="auto"/>
        <w:rPr>
          <w:rFonts w:eastAsia="Times New Roman"/>
          <w:bCs/>
          <w:lang w:val="en-US"/>
        </w:rPr>
      </w:pPr>
      <w:r w:rsidRPr="00B17F19">
        <w:rPr>
          <w:rFonts w:eastAsia="Times New Roman"/>
          <w:bCs/>
          <w:lang w:val="en-US"/>
        </w:rPr>
        <w:t xml:space="preserve">This is consistent with the methodology of SDG indicator 5.a.2, which was unanimously approved by the IAEG-SDG on November 12. The categorization into the respective bands will also apply in the case of regional and global aggregates for </w:t>
      </w:r>
      <w:r w:rsidR="004E25BC">
        <w:rPr>
          <w:rFonts w:eastAsia="Times New Roman"/>
          <w:bCs/>
          <w:lang w:val="en-US"/>
        </w:rPr>
        <w:t>this indicator</w:t>
      </w:r>
      <w:r w:rsidRPr="00B17F19">
        <w:rPr>
          <w:rFonts w:eastAsia="Times New Roman"/>
          <w:bCs/>
          <w:lang w:val="en-US"/>
        </w:rPr>
        <w:t>. Once the mean score for an SDG region has been calculated, the region will be classified into a particular band reflecting the degree of implementation of relevant instruments.</w:t>
      </w:r>
    </w:p>
    <w:p w14:paraId="56ABF20B" w14:textId="77777777" w:rsidR="006F6CE4" w:rsidRDefault="006F6CE4" w:rsidP="003D5519">
      <w:pPr>
        <w:spacing w:after="120" w:line="240" w:lineRule="auto"/>
        <w:rPr>
          <w:rFonts w:eastAsia="Times New Roman"/>
          <w:b/>
          <w:bCs/>
          <w:lang w:val="en-US"/>
        </w:rPr>
      </w:pPr>
    </w:p>
    <w:sectPr w:rsidR="006F6CE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DF7F5" w14:textId="77777777" w:rsidR="00465ABA" w:rsidRDefault="00465ABA" w:rsidP="009C1BB0">
      <w:pPr>
        <w:spacing w:after="0" w:line="240" w:lineRule="auto"/>
      </w:pPr>
      <w:r>
        <w:separator/>
      </w:r>
    </w:p>
  </w:endnote>
  <w:endnote w:type="continuationSeparator" w:id="0">
    <w:p w14:paraId="0EB068FE" w14:textId="77777777" w:rsidR="00465ABA" w:rsidRDefault="00465ABA" w:rsidP="009C1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auto"/>
    <w:pitch w:val="variable"/>
    <w:sig w:usb0="E1000AEF" w:usb1="5000A1FF" w:usb2="00000000" w:usb3="00000000" w:csb0="000001B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242DD" w14:textId="77777777" w:rsidR="00465ABA" w:rsidRDefault="00465ABA" w:rsidP="009C1BB0">
      <w:pPr>
        <w:spacing w:after="0" w:line="240" w:lineRule="auto"/>
      </w:pPr>
      <w:r>
        <w:separator/>
      </w:r>
    </w:p>
  </w:footnote>
  <w:footnote w:type="continuationSeparator" w:id="0">
    <w:p w14:paraId="7B51B1D3" w14:textId="77777777" w:rsidR="00465ABA" w:rsidRDefault="00465ABA" w:rsidP="009C1B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0C0A"/>
    <w:multiLevelType w:val="hybridMultilevel"/>
    <w:tmpl w:val="FFC6F4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801774"/>
    <w:multiLevelType w:val="hybridMultilevel"/>
    <w:tmpl w:val="54BC367E"/>
    <w:lvl w:ilvl="0" w:tplc="B7B63D9E">
      <w:numFmt w:val="bullet"/>
      <w:lvlText w:val="-"/>
      <w:lvlJc w:val="left"/>
      <w:pPr>
        <w:ind w:left="720" w:hanging="360"/>
      </w:pPr>
      <w:rPr>
        <w:rFonts w:ascii="Arial" w:eastAsiaTheme="minorEastAsia" w:hAnsi="Arial" w:cs="Aria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8330C08"/>
    <w:multiLevelType w:val="hybridMultilevel"/>
    <w:tmpl w:val="BB74EE8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964779B"/>
    <w:multiLevelType w:val="hybridMultilevel"/>
    <w:tmpl w:val="7DBC0754"/>
    <w:lvl w:ilvl="0" w:tplc="961E73F6">
      <w:start w:val="1"/>
      <w:numFmt w:val="bullet"/>
      <w:lvlText w:val="?"/>
      <w:lvlJc w:val="left"/>
      <w:pPr>
        <w:tabs>
          <w:tab w:val="num" w:pos="720"/>
        </w:tabs>
        <w:ind w:left="720" w:hanging="360"/>
      </w:pPr>
      <w:rPr>
        <w:rFonts w:ascii="Wingdings" w:hAnsi="Wingdings" w:hint="default"/>
      </w:rPr>
    </w:lvl>
    <w:lvl w:ilvl="1" w:tplc="05BC58DE">
      <w:start w:val="1"/>
      <w:numFmt w:val="bullet"/>
      <w:lvlText w:val="?"/>
      <w:lvlJc w:val="left"/>
      <w:pPr>
        <w:tabs>
          <w:tab w:val="num" w:pos="1440"/>
        </w:tabs>
        <w:ind w:left="1440" w:hanging="360"/>
      </w:pPr>
      <w:rPr>
        <w:rFonts w:ascii="Wingdings" w:hAnsi="Wingdings" w:hint="default"/>
      </w:rPr>
    </w:lvl>
    <w:lvl w:ilvl="2" w:tplc="D8FE3FF8">
      <w:start w:val="1"/>
      <w:numFmt w:val="bullet"/>
      <w:lvlText w:val="?"/>
      <w:lvlJc w:val="left"/>
      <w:pPr>
        <w:tabs>
          <w:tab w:val="num" w:pos="2160"/>
        </w:tabs>
        <w:ind w:left="2160" w:hanging="360"/>
      </w:pPr>
      <w:rPr>
        <w:rFonts w:ascii="Wingdings" w:hAnsi="Wingdings" w:hint="default"/>
      </w:rPr>
    </w:lvl>
    <w:lvl w:ilvl="3" w:tplc="6E4A662C">
      <w:start w:val="1"/>
      <w:numFmt w:val="bullet"/>
      <w:lvlText w:val="?"/>
      <w:lvlJc w:val="left"/>
      <w:pPr>
        <w:tabs>
          <w:tab w:val="num" w:pos="2880"/>
        </w:tabs>
        <w:ind w:left="2880" w:hanging="360"/>
      </w:pPr>
      <w:rPr>
        <w:rFonts w:ascii="Wingdings" w:hAnsi="Wingdings" w:hint="default"/>
      </w:rPr>
    </w:lvl>
    <w:lvl w:ilvl="4" w:tplc="142C3F98">
      <w:start w:val="1"/>
      <w:numFmt w:val="bullet"/>
      <w:lvlText w:val="?"/>
      <w:lvlJc w:val="left"/>
      <w:pPr>
        <w:tabs>
          <w:tab w:val="num" w:pos="3600"/>
        </w:tabs>
        <w:ind w:left="3600" w:hanging="360"/>
      </w:pPr>
      <w:rPr>
        <w:rFonts w:ascii="Wingdings" w:hAnsi="Wingdings" w:hint="default"/>
      </w:rPr>
    </w:lvl>
    <w:lvl w:ilvl="5" w:tplc="26CCE15C">
      <w:start w:val="1"/>
      <w:numFmt w:val="bullet"/>
      <w:lvlText w:val="?"/>
      <w:lvlJc w:val="left"/>
      <w:pPr>
        <w:tabs>
          <w:tab w:val="num" w:pos="4320"/>
        </w:tabs>
        <w:ind w:left="4320" w:hanging="360"/>
      </w:pPr>
      <w:rPr>
        <w:rFonts w:ascii="Wingdings" w:hAnsi="Wingdings" w:hint="default"/>
      </w:rPr>
    </w:lvl>
    <w:lvl w:ilvl="6" w:tplc="405C8658">
      <w:start w:val="1"/>
      <w:numFmt w:val="bullet"/>
      <w:lvlText w:val="?"/>
      <w:lvlJc w:val="left"/>
      <w:pPr>
        <w:tabs>
          <w:tab w:val="num" w:pos="5040"/>
        </w:tabs>
        <w:ind w:left="5040" w:hanging="360"/>
      </w:pPr>
      <w:rPr>
        <w:rFonts w:ascii="Wingdings" w:hAnsi="Wingdings" w:hint="default"/>
      </w:rPr>
    </w:lvl>
    <w:lvl w:ilvl="7" w:tplc="42064A90">
      <w:start w:val="1"/>
      <w:numFmt w:val="bullet"/>
      <w:lvlText w:val="?"/>
      <w:lvlJc w:val="left"/>
      <w:pPr>
        <w:tabs>
          <w:tab w:val="num" w:pos="5760"/>
        </w:tabs>
        <w:ind w:left="5760" w:hanging="360"/>
      </w:pPr>
      <w:rPr>
        <w:rFonts w:ascii="Wingdings" w:hAnsi="Wingdings" w:hint="default"/>
      </w:rPr>
    </w:lvl>
    <w:lvl w:ilvl="8" w:tplc="F9AE3276">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B7B7943"/>
    <w:multiLevelType w:val="hybridMultilevel"/>
    <w:tmpl w:val="8848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A7251A"/>
    <w:multiLevelType w:val="hybridMultilevel"/>
    <w:tmpl w:val="CB8C70DA"/>
    <w:lvl w:ilvl="0" w:tplc="0409000F">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7D7F4FB1"/>
    <w:multiLevelType w:val="hybridMultilevel"/>
    <w:tmpl w:val="EB361B56"/>
    <w:lvl w:ilvl="0" w:tplc="04090005">
      <w:start w:val="1"/>
      <w:numFmt w:val="bullet"/>
      <w:lvlText w:val=""/>
      <w:lvlJc w:val="left"/>
      <w:pPr>
        <w:ind w:left="772" w:hanging="360"/>
      </w:pPr>
      <w:rPr>
        <w:rFonts w:ascii="Wingdings" w:hAnsi="Wingding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CE4"/>
    <w:rsid w:val="00000776"/>
    <w:rsid w:val="000015F5"/>
    <w:rsid w:val="00001AF4"/>
    <w:rsid w:val="00001BBC"/>
    <w:rsid w:val="000021AC"/>
    <w:rsid w:val="000023AC"/>
    <w:rsid w:val="00002989"/>
    <w:rsid w:val="00002A57"/>
    <w:rsid w:val="00002AD4"/>
    <w:rsid w:val="00003114"/>
    <w:rsid w:val="00003ABF"/>
    <w:rsid w:val="00004649"/>
    <w:rsid w:val="0000492A"/>
    <w:rsid w:val="00004961"/>
    <w:rsid w:val="00005D40"/>
    <w:rsid w:val="00006806"/>
    <w:rsid w:val="00006ACA"/>
    <w:rsid w:val="000070E6"/>
    <w:rsid w:val="00007F08"/>
    <w:rsid w:val="0001042D"/>
    <w:rsid w:val="000131FA"/>
    <w:rsid w:val="00013713"/>
    <w:rsid w:val="00013C9F"/>
    <w:rsid w:val="00013E89"/>
    <w:rsid w:val="00014CB3"/>
    <w:rsid w:val="000150F3"/>
    <w:rsid w:val="00015109"/>
    <w:rsid w:val="00015C39"/>
    <w:rsid w:val="0001629A"/>
    <w:rsid w:val="000167C8"/>
    <w:rsid w:val="0001685D"/>
    <w:rsid w:val="00016E89"/>
    <w:rsid w:val="00017011"/>
    <w:rsid w:val="000170A0"/>
    <w:rsid w:val="000178B9"/>
    <w:rsid w:val="00020FE5"/>
    <w:rsid w:val="00021016"/>
    <w:rsid w:val="00022AA7"/>
    <w:rsid w:val="00022BD9"/>
    <w:rsid w:val="00022D78"/>
    <w:rsid w:val="0002317A"/>
    <w:rsid w:val="000237BE"/>
    <w:rsid w:val="00023E21"/>
    <w:rsid w:val="000241EA"/>
    <w:rsid w:val="00025F5C"/>
    <w:rsid w:val="00027351"/>
    <w:rsid w:val="00027530"/>
    <w:rsid w:val="00027603"/>
    <w:rsid w:val="00027F47"/>
    <w:rsid w:val="00027F89"/>
    <w:rsid w:val="000301B0"/>
    <w:rsid w:val="000306DA"/>
    <w:rsid w:val="000310AA"/>
    <w:rsid w:val="00031796"/>
    <w:rsid w:val="0003290F"/>
    <w:rsid w:val="00034495"/>
    <w:rsid w:val="00035455"/>
    <w:rsid w:val="0003792D"/>
    <w:rsid w:val="00037CC0"/>
    <w:rsid w:val="00040F91"/>
    <w:rsid w:val="00042DE1"/>
    <w:rsid w:val="00042F17"/>
    <w:rsid w:val="00042F84"/>
    <w:rsid w:val="000437D2"/>
    <w:rsid w:val="00043BF8"/>
    <w:rsid w:val="0004406F"/>
    <w:rsid w:val="0004462B"/>
    <w:rsid w:val="00044F40"/>
    <w:rsid w:val="00045025"/>
    <w:rsid w:val="00045C14"/>
    <w:rsid w:val="0004636E"/>
    <w:rsid w:val="00046AA0"/>
    <w:rsid w:val="00046CE2"/>
    <w:rsid w:val="00046D01"/>
    <w:rsid w:val="0004759A"/>
    <w:rsid w:val="00050A5E"/>
    <w:rsid w:val="00050C41"/>
    <w:rsid w:val="00051680"/>
    <w:rsid w:val="00051EBB"/>
    <w:rsid w:val="000520C8"/>
    <w:rsid w:val="000526DE"/>
    <w:rsid w:val="00052BE1"/>
    <w:rsid w:val="000531AE"/>
    <w:rsid w:val="00053218"/>
    <w:rsid w:val="00053651"/>
    <w:rsid w:val="0005417C"/>
    <w:rsid w:val="0005547A"/>
    <w:rsid w:val="00055E26"/>
    <w:rsid w:val="00057A2A"/>
    <w:rsid w:val="00057A99"/>
    <w:rsid w:val="00060326"/>
    <w:rsid w:val="00060751"/>
    <w:rsid w:val="00060F87"/>
    <w:rsid w:val="00061223"/>
    <w:rsid w:val="000614DD"/>
    <w:rsid w:val="00061CD3"/>
    <w:rsid w:val="00061DCC"/>
    <w:rsid w:val="00062B34"/>
    <w:rsid w:val="0006369D"/>
    <w:rsid w:val="00063F3B"/>
    <w:rsid w:val="00064E5F"/>
    <w:rsid w:val="000660A9"/>
    <w:rsid w:val="000667FD"/>
    <w:rsid w:val="000669EB"/>
    <w:rsid w:val="00066D74"/>
    <w:rsid w:val="00066E72"/>
    <w:rsid w:val="000676B2"/>
    <w:rsid w:val="00067796"/>
    <w:rsid w:val="000677BC"/>
    <w:rsid w:val="00070429"/>
    <w:rsid w:val="00071E9A"/>
    <w:rsid w:val="00072220"/>
    <w:rsid w:val="00072528"/>
    <w:rsid w:val="00072D46"/>
    <w:rsid w:val="000740EE"/>
    <w:rsid w:val="0007414C"/>
    <w:rsid w:val="00074667"/>
    <w:rsid w:val="000748B5"/>
    <w:rsid w:val="00074B67"/>
    <w:rsid w:val="00074C3A"/>
    <w:rsid w:val="00075B75"/>
    <w:rsid w:val="0008078C"/>
    <w:rsid w:val="00080986"/>
    <w:rsid w:val="00081D12"/>
    <w:rsid w:val="00082445"/>
    <w:rsid w:val="00082B3A"/>
    <w:rsid w:val="00083BB6"/>
    <w:rsid w:val="00083C4E"/>
    <w:rsid w:val="00084C0E"/>
    <w:rsid w:val="00085FC2"/>
    <w:rsid w:val="000866F3"/>
    <w:rsid w:val="00086B6F"/>
    <w:rsid w:val="000874CA"/>
    <w:rsid w:val="00090CDA"/>
    <w:rsid w:val="000910F4"/>
    <w:rsid w:val="00092154"/>
    <w:rsid w:val="0009437A"/>
    <w:rsid w:val="000962B0"/>
    <w:rsid w:val="00096914"/>
    <w:rsid w:val="00097704"/>
    <w:rsid w:val="0009772D"/>
    <w:rsid w:val="0009799D"/>
    <w:rsid w:val="000A02BC"/>
    <w:rsid w:val="000A0BFB"/>
    <w:rsid w:val="000A1A77"/>
    <w:rsid w:val="000A1D4D"/>
    <w:rsid w:val="000A1F15"/>
    <w:rsid w:val="000A2AEB"/>
    <w:rsid w:val="000A32AD"/>
    <w:rsid w:val="000A3AA4"/>
    <w:rsid w:val="000A3B03"/>
    <w:rsid w:val="000A3FE7"/>
    <w:rsid w:val="000A41C7"/>
    <w:rsid w:val="000A49B5"/>
    <w:rsid w:val="000A564D"/>
    <w:rsid w:val="000A57A4"/>
    <w:rsid w:val="000A59FD"/>
    <w:rsid w:val="000A5E78"/>
    <w:rsid w:val="000A6E21"/>
    <w:rsid w:val="000B1F7A"/>
    <w:rsid w:val="000B209D"/>
    <w:rsid w:val="000B23FF"/>
    <w:rsid w:val="000B3990"/>
    <w:rsid w:val="000B39D1"/>
    <w:rsid w:val="000B48CB"/>
    <w:rsid w:val="000B5374"/>
    <w:rsid w:val="000B5BF7"/>
    <w:rsid w:val="000B606F"/>
    <w:rsid w:val="000B767D"/>
    <w:rsid w:val="000B7BE1"/>
    <w:rsid w:val="000B7F4C"/>
    <w:rsid w:val="000C03D9"/>
    <w:rsid w:val="000C0B09"/>
    <w:rsid w:val="000C171D"/>
    <w:rsid w:val="000C189B"/>
    <w:rsid w:val="000C18D4"/>
    <w:rsid w:val="000C1C04"/>
    <w:rsid w:val="000C1DAC"/>
    <w:rsid w:val="000C31F0"/>
    <w:rsid w:val="000C32B5"/>
    <w:rsid w:val="000C3DB4"/>
    <w:rsid w:val="000C4D15"/>
    <w:rsid w:val="000C51E9"/>
    <w:rsid w:val="000C5699"/>
    <w:rsid w:val="000C5E20"/>
    <w:rsid w:val="000C5E98"/>
    <w:rsid w:val="000C6218"/>
    <w:rsid w:val="000C6A8F"/>
    <w:rsid w:val="000C6B45"/>
    <w:rsid w:val="000D00A8"/>
    <w:rsid w:val="000D02DD"/>
    <w:rsid w:val="000D062D"/>
    <w:rsid w:val="000D1673"/>
    <w:rsid w:val="000D1938"/>
    <w:rsid w:val="000D1966"/>
    <w:rsid w:val="000D1C7B"/>
    <w:rsid w:val="000D2E2F"/>
    <w:rsid w:val="000D3A26"/>
    <w:rsid w:val="000D45E4"/>
    <w:rsid w:val="000D460B"/>
    <w:rsid w:val="000D595E"/>
    <w:rsid w:val="000D5B01"/>
    <w:rsid w:val="000D7512"/>
    <w:rsid w:val="000D7E77"/>
    <w:rsid w:val="000E0864"/>
    <w:rsid w:val="000E14A6"/>
    <w:rsid w:val="000E1865"/>
    <w:rsid w:val="000E1BBE"/>
    <w:rsid w:val="000E238B"/>
    <w:rsid w:val="000E2C3F"/>
    <w:rsid w:val="000E32FC"/>
    <w:rsid w:val="000E33E1"/>
    <w:rsid w:val="000E4C18"/>
    <w:rsid w:val="000E5056"/>
    <w:rsid w:val="000E7549"/>
    <w:rsid w:val="000E79CC"/>
    <w:rsid w:val="000E7A92"/>
    <w:rsid w:val="000F1DA4"/>
    <w:rsid w:val="000F516C"/>
    <w:rsid w:val="000F6417"/>
    <w:rsid w:val="000F69BC"/>
    <w:rsid w:val="000F6B2F"/>
    <w:rsid w:val="000F6CED"/>
    <w:rsid w:val="000F74FB"/>
    <w:rsid w:val="000F7561"/>
    <w:rsid w:val="000F794D"/>
    <w:rsid w:val="000F7A13"/>
    <w:rsid w:val="00100869"/>
    <w:rsid w:val="0010086A"/>
    <w:rsid w:val="00100BA1"/>
    <w:rsid w:val="0010103C"/>
    <w:rsid w:val="001029A2"/>
    <w:rsid w:val="00102F8A"/>
    <w:rsid w:val="00103767"/>
    <w:rsid w:val="00104A6D"/>
    <w:rsid w:val="00104BFF"/>
    <w:rsid w:val="00104D10"/>
    <w:rsid w:val="00104D23"/>
    <w:rsid w:val="0010528F"/>
    <w:rsid w:val="00107E73"/>
    <w:rsid w:val="00111404"/>
    <w:rsid w:val="00111428"/>
    <w:rsid w:val="00111A39"/>
    <w:rsid w:val="0011247C"/>
    <w:rsid w:val="00112CCF"/>
    <w:rsid w:val="00112E67"/>
    <w:rsid w:val="00113587"/>
    <w:rsid w:val="0011370D"/>
    <w:rsid w:val="001139E6"/>
    <w:rsid w:val="00114778"/>
    <w:rsid w:val="00115109"/>
    <w:rsid w:val="0011581D"/>
    <w:rsid w:val="00115871"/>
    <w:rsid w:val="001165ED"/>
    <w:rsid w:val="001168AB"/>
    <w:rsid w:val="00116D45"/>
    <w:rsid w:val="00117662"/>
    <w:rsid w:val="00117C09"/>
    <w:rsid w:val="00122607"/>
    <w:rsid w:val="001237AA"/>
    <w:rsid w:val="00123D9B"/>
    <w:rsid w:val="001240C1"/>
    <w:rsid w:val="0012439B"/>
    <w:rsid w:val="001253B2"/>
    <w:rsid w:val="001254FE"/>
    <w:rsid w:val="001258FC"/>
    <w:rsid w:val="0012674F"/>
    <w:rsid w:val="00126EF7"/>
    <w:rsid w:val="00126FDA"/>
    <w:rsid w:val="00127827"/>
    <w:rsid w:val="00127A1B"/>
    <w:rsid w:val="0013054B"/>
    <w:rsid w:val="001305CC"/>
    <w:rsid w:val="001309C1"/>
    <w:rsid w:val="001309D5"/>
    <w:rsid w:val="00130DE7"/>
    <w:rsid w:val="001310EE"/>
    <w:rsid w:val="001310F4"/>
    <w:rsid w:val="0013137C"/>
    <w:rsid w:val="00131CA6"/>
    <w:rsid w:val="001321C0"/>
    <w:rsid w:val="001322CC"/>
    <w:rsid w:val="00133403"/>
    <w:rsid w:val="00134498"/>
    <w:rsid w:val="00134FAE"/>
    <w:rsid w:val="00135BDE"/>
    <w:rsid w:val="00135FB9"/>
    <w:rsid w:val="001360A1"/>
    <w:rsid w:val="00136716"/>
    <w:rsid w:val="001369B5"/>
    <w:rsid w:val="00137CE2"/>
    <w:rsid w:val="001400DB"/>
    <w:rsid w:val="001401A1"/>
    <w:rsid w:val="001405DE"/>
    <w:rsid w:val="00143096"/>
    <w:rsid w:val="001435E9"/>
    <w:rsid w:val="00143AC1"/>
    <w:rsid w:val="00143F07"/>
    <w:rsid w:val="0014455A"/>
    <w:rsid w:val="001447F7"/>
    <w:rsid w:val="00145A24"/>
    <w:rsid w:val="00147144"/>
    <w:rsid w:val="00147A6F"/>
    <w:rsid w:val="00150304"/>
    <w:rsid w:val="001506A5"/>
    <w:rsid w:val="00150A3F"/>
    <w:rsid w:val="00151BE8"/>
    <w:rsid w:val="00151CFD"/>
    <w:rsid w:val="00152B0A"/>
    <w:rsid w:val="00153ED6"/>
    <w:rsid w:val="001544AE"/>
    <w:rsid w:val="00154F85"/>
    <w:rsid w:val="001570E8"/>
    <w:rsid w:val="001578DC"/>
    <w:rsid w:val="00160081"/>
    <w:rsid w:val="00160087"/>
    <w:rsid w:val="00160471"/>
    <w:rsid w:val="00160C20"/>
    <w:rsid w:val="001613AA"/>
    <w:rsid w:val="00161976"/>
    <w:rsid w:val="001620B2"/>
    <w:rsid w:val="001628A2"/>
    <w:rsid w:val="0016301D"/>
    <w:rsid w:val="001631B6"/>
    <w:rsid w:val="00164ED6"/>
    <w:rsid w:val="0016510A"/>
    <w:rsid w:val="0016596E"/>
    <w:rsid w:val="00165DBC"/>
    <w:rsid w:val="0016629D"/>
    <w:rsid w:val="00166517"/>
    <w:rsid w:val="00170823"/>
    <w:rsid w:val="0017088E"/>
    <w:rsid w:val="001708A1"/>
    <w:rsid w:val="00170A25"/>
    <w:rsid w:val="001710AA"/>
    <w:rsid w:val="0017118D"/>
    <w:rsid w:val="001713DF"/>
    <w:rsid w:val="001718CD"/>
    <w:rsid w:val="00171F86"/>
    <w:rsid w:val="001723A3"/>
    <w:rsid w:val="001723BC"/>
    <w:rsid w:val="0017328D"/>
    <w:rsid w:val="0017493D"/>
    <w:rsid w:val="0017578C"/>
    <w:rsid w:val="0017593D"/>
    <w:rsid w:val="00177120"/>
    <w:rsid w:val="001773CA"/>
    <w:rsid w:val="00177875"/>
    <w:rsid w:val="001779F8"/>
    <w:rsid w:val="0018076D"/>
    <w:rsid w:val="00180D12"/>
    <w:rsid w:val="001811DB"/>
    <w:rsid w:val="0018122E"/>
    <w:rsid w:val="00181446"/>
    <w:rsid w:val="00181894"/>
    <w:rsid w:val="00181944"/>
    <w:rsid w:val="00181A6A"/>
    <w:rsid w:val="0018285E"/>
    <w:rsid w:val="0018350C"/>
    <w:rsid w:val="00183DEC"/>
    <w:rsid w:val="0018426C"/>
    <w:rsid w:val="0018456A"/>
    <w:rsid w:val="00184721"/>
    <w:rsid w:val="00185C70"/>
    <w:rsid w:val="00185F79"/>
    <w:rsid w:val="00186248"/>
    <w:rsid w:val="00186F82"/>
    <w:rsid w:val="0018709C"/>
    <w:rsid w:val="00187323"/>
    <w:rsid w:val="00187BB9"/>
    <w:rsid w:val="00187FA3"/>
    <w:rsid w:val="00190327"/>
    <w:rsid w:val="00190546"/>
    <w:rsid w:val="0019072F"/>
    <w:rsid w:val="001908DB"/>
    <w:rsid w:val="001925E6"/>
    <w:rsid w:val="001926D8"/>
    <w:rsid w:val="00192E1B"/>
    <w:rsid w:val="00193143"/>
    <w:rsid w:val="001932C9"/>
    <w:rsid w:val="00193A9F"/>
    <w:rsid w:val="00193ED6"/>
    <w:rsid w:val="00193F82"/>
    <w:rsid w:val="00195713"/>
    <w:rsid w:val="0019592D"/>
    <w:rsid w:val="0019603B"/>
    <w:rsid w:val="001964C1"/>
    <w:rsid w:val="00197720"/>
    <w:rsid w:val="00197AFF"/>
    <w:rsid w:val="00197D13"/>
    <w:rsid w:val="001A15DC"/>
    <w:rsid w:val="001A1697"/>
    <w:rsid w:val="001A2297"/>
    <w:rsid w:val="001A2326"/>
    <w:rsid w:val="001A2B4B"/>
    <w:rsid w:val="001A353C"/>
    <w:rsid w:val="001A372B"/>
    <w:rsid w:val="001A394A"/>
    <w:rsid w:val="001A4F4B"/>
    <w:rsid w:val="001A691D"/>
    <w:rsid w:val="001A6B95"/>
    <w:rsid w:val="001A6D7E"/>
    <w:rsid w:val="001A7092"/>
    <w:rsid w:val="001A7F01"/>
    <w:rsid w:val="001B0075"/>
    <w:rsid w:val="001B12AD"/>
    <w:rsid w:val="001B21F1"/>
    <w:rsid w:val="001B2345"/>
    <w:rsid w:val="001B2533"/>
    <w:rsid w:val="001B3696"/>
    <w:rsid w:val="001B3CFF"/>
    <w:rsid w:val="001B3DEA"/>
    <w:rsid w:val="001B44E2"/>
    <w:rsid w:val="001B4AAB"/>
    <w:rsid w:val="001B6907"/>
    <w:rsid w:val="001B6EB9"/>
    <w:rsid w:val="001B7091"/>
    <w:rsid w:val="001B711F"/>
    <w:rsid w:val="001B771E"/>
    <w:rsid w:val="001B7A63"/>
    <w:rsid w:val="001C05C7"/>
    <w:rsid w:val="001C0CF5"/>
    <w:rsid w:val="001C13B7"/>
    <w:rsid w:val="001C1D3F"/>
    <w:rsid w:val="001C1E05"/>
    <w:rsid w:val="001C210B"/>
    <w:rsid w:val="001C2FDD"/>
    <w:rsid w:val="001C4250"/>
    <w:rsid w:val="001C4603"/>
    <w:rsid w:val="001C551E"/>
    <w:rsid w:val="001C5AEE"/>
    <w:rsid w:val="001C5C4F"/>
    <w:rsid w:val="001C5E13"/>
    <w:rsid w:val="001C6583"/>
    <w:rsid w:val="001C671D"/>
    <w:rsid w:val="001C715F"/>
    <w:rsid w:val="001C74CD"/>
    <w:rsid w:val="001C776F"/>
    <w:rsid w:val="001C7D26"/>
    <w:rsid w:val="001D082E"/>
    <w:rsid w:val="001D0914"/>
    <w:rsid w:val="001D11A2"/>
    <w:rsid w:val="001D1CBB"/>
    <w:rsid w:val="001D1EEF"/>
    <w:rsid w:val="001D263E"/>
    <w:rsid w:val="001D2B82"/>
    <w:rsid w:val="001D31CD"/>
    <w:rsid w:val="001D3814"/>
    <w:rsid w:val="001D46D0"/>
    <w:rsid w:val="001D497C"/>
    <w:rsid w:val="001D53C9"/>
    <w:rsid w:val="001D555E"/>
    <w:rsid w:val="001D59D2"/>
    <w:rsid w:val="001D5B6D"/>
    <w:rsid w:val="001D6497"/>
    <w:rsid w:val="001D6763"/>
    <w:rsid w:val="001D6FFC"/>
    <w:rsid w:val="001D7580"/>
    <w:rsid w:val="001D78EB"/>
    <w:rsid w:val="001D7C7A"/>
    <w:rsid w:val="001E020C"/>
    <w:rsid w:val="001E15C8"/>
    <w:rsid w:val="001E1700"/>
    <w:rsid w:val="001E1BF2"/>
    <w:rsid w:val="001E2C20"/>
    <w:rsid w:val="001E2D54"/>
    <w:rsid w:val="001E2E60"/>
    <w:rsid w:val="001E3077"/>
    <w:rsid w:val="001E3C61"/>
    <w:rsid w:val="001E4008"/>
    <w:rsid w:val="001E4E32"/>
    <w:rsid w:val="001E50BB"/>
    <w:rsid w:val="001E542E"/>
    <w:rsid w:val="001E54CC"/>
    <w:rsid w:val="001E6295"/>
    <w:rsid w:val="001E6E47"/>
    <w:rsid w:val="001E6EAD"/>
    <w:rsid w:val="001E7215"/>
    <w:rsid w:val="001E76C5"/>
    <w:rsid w:val="001E794A"/>
    <w:rsid w:val="001E7E87"/>
    <w:rsid w:val="001F05A5"/>
    <w:rsid w:val="001F0851"/>
    <w:rsid w:val="001F0E98"/>
    <w:rsid w:val="001F1594"/>
    <w:rsid w:val="001F2133"/>
    <w:rsid w:val="001F2E64"/>
    <w:rsid w:val="001F40F7"/>
    <w:rsid w:val="001F46EB"/>
    <w:rsid w:val="001F4715"/>
    <w:rsid w:val="001F5270"/>
    <w:rsid w:val="001F5527"/>
    <w:rsid w:val="001F6374"/>
    <w:rsid w:val="001F7541"/>
    <w:rsid w:val="001F7ECE"/>
    <w:rsid w:val="002003D0"/>
    <w:rsid w:val="0020047F"/>
    <w:rsid w:val="00200603"/>
    <w:rsid w:val="00200E85"/>
    <w:rsid w:val="0020146E"/>
    <w:rsid w:val="00201A83"/>
    <w:rsid w:val="002036F2"/>
    <w:rsid w:val="0020376D"/>
    <w:rsid w:val="00204E58"/>
    <w:rsid w:val="00205C06"/>
    <w:rsid w:val="00205C08"/>
    <w:rsid w:val="00206FD0"/>
    <w:rsid w:val="00207780"/>
    <w:rsid w:val="002078B3"/>
    <w:rsid w:val="00207AA6"/>
    <w:rsid w:val="002105B5"/>
    <w:rsid w:val="00210692"/>
    <w:rsid w:val="00210906"/>
    <w:rsid w:val="00211B0A"/>
    <w:rsid w:val="002121D1"/>
    <w:rsid w:val="0021310F"/>
    <w:rsid w:val="002133A4"/>
    <w:rsid w:val="00213DCC"/>
    <w:rsid w:val="00214234"/>
    <w:rsid w:val="0021482B"/>
    <w:rsid w:val="00214DDE"/>
    <w:rsid w:val="00214DF9"/>
    <w:rsid w:val="002153DD"/>
    <w:rsid w:val="0021671D"/>
    <w:rsid w:val="0021706D"/>
    <w:rsid w:val="002170C2"/>
    <w:rsid w:val="00217758"/>
    <w:rsid w:val="002206F5"/>
    <w:rsid w:val="00220C00"/>
    <w:rsid w:val="00221080"/>
    <w:rsid w:val="00221414"/>
    <w:rsid w:val="0022239C"/>
    <w:rsid w:val="00222DB1"/>
    <w:rsid w:val="0022301C"/>
    <w:rsid w:val="00223627"/>
    <w:rsid w:val="0022370C"/>
    <w:rsid w:val="00223FB0"/>
    <w:rsid w:val="00224147"/>
    <w:rsid w:val="0022457D"/>
    <w:rsid w:val="00224AFB"/>
    <w:rsid w:val="00226364"/>
    <w:rsid w:val="00226671"/>
    <w:rsid w:val="00226BBC"/>
    <w:rsid w:val="00226C21"/>
    <w:rsid w:val="0022760E"/>
    <w:rsid w:val="00227981"/>
    <w:rsid w:val="00230150"/>
    <w:rsid w:val="00231647"/>
    <w:rsid w:val="00231710"/>
    <w:rsid w:val="00232503"/>
    <w:rsid w:val="00232FCF"/>
    <w:rsid w:val="002338E4"/>
    <w:rsid w:val="0023429B"/>
    <w:rsid w:val="00234FF2"/>
    <w:rsid w:val="00236403"/>
    <w:rsid w:val="0023776D"/>
    <w:rsid w:val="00237F7A"/>
    <w:rsid w:val="00240809"/>
    <w:rsid w:val="0024088E"/>
    <w:rsid w:val="002408D4"/>
    <w:rsid w:val="00240980"/>
    <w:rsid w:val="002419A9"/>
    <w:rsid w:val="0024215F"/>
    <w:rsid w:val="00242C8D"/>
    <w:rsid w:val="00242FD4"/>
    <w:rsid w:val="00243DA4"/>
    <w:rsid w:val="002449DD"/>
    <w:rsid w:val="00244B0B"/>
    <w:rsid w:val="0024610A"/>
    <w:rsid w:val="0024622C"/>
    <w:rsid w:val="002465E6"/>
    <w:rsid w:val="00246A86"/>
    <w:rsid w:val="00247265"/>
    <w:rsid w:val="0025074B"/>
    <w:rsid w:val="00250A64"/>
    <w:rsid w:val="00250F37"/>
    <w:rsid w:val="0025228E"/>
    <w:rsid w:val="00253963"/>
    <w:rsid w:val="002539E9"/>
    <w:rsid w:val="00253A85"/>
    <w:rsid w:val="00254C5F"/>
    <w:rsid w:val="00255858"/>
    <w:rsid w:val="00255DF9"/>
    <w:rsid w:val="00256DAD"/>
    <w:rsid w:val="002573D8"/>
    <w:rsid w:val="002601E5"/>
    <w:rsid w:val="00260878"/>
    <w:rsid w:val="00260DC6"/>
    <w:rsid w:val="00261DFD"/>
    <w:rsid w:val="002620AD"/>
    <w:rsid w:val="0026227F"/>
    <w:rsid w:val="0026273D"/>
    <w:rsid w:val="00262DCA"/>
    <w:rsid w:val="00263480"/>
    <w:rsid w:val="00263BC5"/>
    <w:rsid w:val="00263C93"/>
    <w:rsid w:val="00263D5A"/>
    <w:rsid w:val="00265A44"/>
    <w:rsid w:val="00265ADC"/>
    <w:rsid w:val="00265C01"/>
    <w:rsid w:val="002660DD"/>
    <w:rsid w:val="002668DB"/>
    <w:rsid w:val="00266B53"/>
    <w:rsid w:val="00267B56"/>
    <w:rsid w:val="0027143C"/>
    <w:rsid w:val="00271571"/>
    <w:rsid w:val="0027294C"/>
    <w:rsid w:val="00272955"/>
    <w:rsid w:val="00273791"/>
    <w:rsid w:val="00273AD3"/>
    <w:rsid w:val="00273C90"/>
    <w:rsid w:val="002744EB"/>
    <w:rsid w:val="002746EC"/>
    <w:rsid w:val="0027592A"/>
    <w:rsid w:val="00277B94"/>
    <w:rsid w:val="00280B52"/>
    <w:rsid w:val="00281898"/>
    <w:rsid w:val="00281A99"/>
    <w:rsid w:val="00281FB9"/>
    <w:rsid w:val="00282084"/>
    <w:rsid w:val="002824BA"/>
    <w:rsid w:val="00282FBC"/>
    <w:rsid w:val="00282FCE"/>
    <w:rsid w:val="002834FF"/>
    <w:rsid w:val="0028354D"/>
    <w:rsid w:val="002836AE"/>
    <w:rsid w:val="0028421B"/>
    <w:rsid w:val="00285039"/>
    <w:rsid w:val="002850C9"/>
    <w:rsid w:val="002850D4"/>
    <w:rsid w:val="002852AF"/>
    <w:rsid w:val="00285306"/>
    <w:rsid w:val="002855CB"/>
    <w:rsid w:val="002866F1"/>
    <w:rsid w:val="00286E8E"/>
    <w:rsid w:val="002870E1"/>
    <w:rsid w:val="002873D6"/>
    <w:rsid w:val="00290EC1"/>
    <w:rsid w:val="0029196C"/>
    <w:rsid w:val="002919FF"/>
    <w:rsid w:val="00291CFD"/>
    <w:rsid w:val="0029225F"/>
    <w:rsid w:val="00292E1C"/>
    <w:rsid w:val="00293F57"/>
    <w:rsid w:val="002940D7"/>
    <w:rsid w:val="002941A1"/>
    <w:rsid w:val="00295505"/>
    <w:rsid w:val="002959E3"/>
    <w:rsid w:val="00295AC4"/>
    <w:rsid w:val="00296858"/>
    <w:rsid w:val="00296A8F"/>
    <w:rsid w:val="00297922"/>
    <w:rsid w:val="00297B6F"/>
    <w:rsid w:val="002A081B"/>
    <w:rsid w:val="002A0949"/>
    <w:rsid w:val="002A0EB2"/>
    <w:rsid w:val="002A11D4"/>
    <w:rsid w:val="002A2AFB"/>
    <w:rsid w:val="002A3876"/>
    <w:rsid w:val="002A4624"/>
    <w:rsid w:val="002A49A4"/>
    <w:rsid w:val="002A4CEB"/>
    <w:rsid w:val="002A50A7"/>
    <w:rsid w:val="002A519A"/>
    <w:rsid w:val="002A5469"/>
    <w:rsid w:val="002A54A4"/>
    <w:rsid w:val="002A5AD5"/>
    <w:rsid w:val="002A649A"/>
    <w:rsid w:val="002A7326"/>
    <w:rsid w:val="002B227F"/>
    <w:rsid w:val="002B3516"/>
    <w:rsid w:val="002B3C03"/>
    <w:rsid w:val="002B3D26"/>
    <w:rsid w:val="002B3FB1"/>
    <w:rsid w:val="002B43D1"/>
    <w:rsid w:val="002B468A"/>
    <w:rsid w:val="002B4A37"/>
    <w:rsid w:val="002B5CD5"/>
    <w:rsid w:val="002B688D"/>
    <w:rsid w:val="002B6D60"/>
    <w:rsid w:val="002B6DE4"/>
    <w:rsid w:val="002B6E6D"/>
    <w:rsid w:val="002C1815"/>
    <w:rsid w:val="002C2288"/>
    <w:rsid w:val="002C3061"/>
    <w:rsid w:val="002C32C1"/>
    <w:rsid w:val="002C34C2"/>
    <w:rsid w:val="002C3B69"/>
    <w:rsid w:val="002C4263"/>
    <w:rsid w:val="002C69A0"/>
    <w:rsid w:val="002C6D51"/>
    <w:rsid w:val="002C77B4"/>
    <w:rsid w:val="002C789C"/>
    <w:rsid w:val="002D0492"/>
    <w:rsid w:val="002D0578"/>
    <w:rsid w:val="002D0813"/>
    <w:rsid w:val="002D0A3E"/>
    <w:rsid w:val="002D2644"/>
    <w:rsid w:val="002D275B"/>
    <w:rsid w:val="002D2994"/>
    <w:rsid w:val="002D2FAA"/>
    <w:rsid w:val="002D377B"/>
    <w:rsid w:val="002D4CC5"/>
    <w:rsid w:val="002D5677"/>
    <w:rsid w:val="002D5E34"/>
    <w:rsid w:val="002D72F3"/>
    <w:rsid w:val="002D7563"/>
    <w:rsid w:val="002D7927"/>
    <w:rsid w:val="002D7B43"/>
    <w:rsid w:val="002E0AF0"/>
    <w:rsid w:val="002E17BD"/>
    <w:rsid w:val="002E1943"/>
    <w:rsid w:val="002E1C90"/>
    <w:rsid w:val="002E3275"/>
    <w:rsid w:val="002E3498"/>
    <w:rsid w:val="002E43BD"/>
    <w:rsid w:val="002E4996"/>
    <w:rsid w:val="002E5316"/>
    <w:rsid w:val="002E5B7B"/>
    <w:rsid w:val="002E5E44"/>
    <w:rsid w:val="002E6DAF"/>
    <w:rsid w:val="002E70EA"/>
    <w:rsid w:val="002E7180"/>
    <w:rsid w:val="002E766E"/>
    <w:rsid w:val="002F01FA"/>
    <w:rsid w:val="002F0781"/>
    <w:rsid w:val="002F0F89"/>
    <w:rsid w:val="002F1284"/>
    <w:rsid w:val="002F16CE"/>
    <w:rsid w:val="002F1A08"/>
    <w:rsid w:val="002F1A6B"/>
    <w:rsid w:val="002F1ED6"/>
    <w:rsid w:val="002F22BE"/>
    <w:rsid w:val="002F253A"/>
    <w:rsid w:val="002F26CA"/>
    <w:rsid w:val="002F2DF6"/>
    <w:rsid w:val="002F3B7C"/>
    <w:rsid w:val="002F417D"/>
    <w:rsid w:val="002F4394"/>
    <w:rsid w:val="002F4728"/>
    <w:rsid w:val="002F64B7"/>
    <w:rsid w:val="002F662B"/>
    <w:rsid w:val="002F6AB3"/>
    <w:rsid w:val="002F7B25"/>
    <w:rsid w:val="00300087"/>
    <w:rsid w:val="00300D8E"/>
    <w:rsid w:val="0030132A"/>
    <w:rsid w:val="003018E7"/>
    <w:rsid w:val="00301FA6"/>
    <w:rsid w:val="003022C0"/>
    <w:rsid w:val="0030274B"/>
    <w:rsid w:val="003033F7"/>
    <w:rsid w:val="00303EC7"/>
    <w:rsid w:val="0030403C"/>
    <w:rsid w:val="00304B50"/>
    <w:rsid w:val="00304B75"/>
    <w:rsid w:val="00304CB7"/>
    <w:rsid w:val="003053B4"/>
    <w:rsid w:val="00305FF8"/>
    <w:rsid w:val="003062EE"/>
    <w:rsid w:val="00306E6B"/>
    <w:rsid w:val="00307241"/>
    <w:rsid w:val="0030728D"/>
    <w:rsid w:val="0030743C"/>
    <w:rsid w:val="00307644"/>
    <w:rsid w:val="003076FE"/>
    <w:rsid w:val="003107DD"/>
    <w:rsid w:val="00310E07"/>
    <w:rsid w:val="00310FBF"/>
    <w:rsid w:val="0031125A"/>
    <w:rsid w:val="003115AF"/>
    <w:rsid w:val="003125F4"/>
    <w:rsid w:val="0031397C"/>
    <w:rsid w:val="00313A3B"/>
    <w:rsid w:val="00313AE0"/>
    <w:rsid w:val="003146C7"/>
    <w:rsid w:val="003148C4"/>
    <w:rsid w:val="00315417"/>
    <w:rsid w:val="00315AAD"/>
    <w:rsid w:val="00315E61"/>
    <w:rsid w:val="00315F2A"/>
    <w:rsid w:val="00316373"/>
    <w:rsid w:val="00316735"/>
    <w:rsid w:val="003178C4"/>
    <w:rsid w:val="0031797F"/>
    <w:rsid w:val="003179F0"/>
    <w:rsid w:val="00317BBC"/>
    <w:rsid w:val="00317BC2"/>
    <w:rsid w:val="0032066D"/>
    <w:rsid w:val="0032138C"/>
    <w:rsid w:val="0032188C"/>
    <w:rsid w:val="00321B2E"/>
    <w:rsid w:val="00322E4A"/>
    <w:rsid w:val="0032419B"/>
    <w:rsid w:val="003242E0"/>
    <w:rsid w:val="003243A6"/>
    <w:rsid w:val="0032453B"/>
    <w:rsid w:val="00324797"/>
    <w:rsid w:val="00324C7C"/>
    <w:rsid w:val="00325181"/>
    <w:rsid w:val="0032522C"/>
    <w:rsid w:val="003254A5"/>
    <w:rsid w:val="00325D2B"/>
    <w:rsid w:val="00325E7B"/>
    <w:rsid w:val="00326075"/>
    <w:rsid w:val="003271DC"/>
    <w:rsid w:val="003275DF"/>
    <w:rsid w:val="00327C52"/>
    <w:rsid w:val="0033017D"/>
    <w:rsid w:val="00331A42"/>
    <w:rsid w:val="00331BFD"/>
    <w:rsid w:val="00331C23"/>
    <w:rsid w:val="00331CB9"/>
    <w:rsid w:val="00331FC7"/>
    <w:rsid w:val="00332971"/>
    <w:rsid w:val="0033301E"/>
    <w:rsid w:val="00333211"/>
    <w:rsid w:val="00333C2C"/>
    <w:rsid w:val="00333CEF"/>
    <w:rsid w:val="0033409E"/>
    <w:rsid w:val="0033423C"/>
    <w:rsid w:val="00334C15"/>
    <w:rsid w:val="0033616A"/>
    <w:rsid w:val="003377AE"/>
    <w:rsid w:val="0033794A"/>
    <w:rsid w:val="00340E43"/>
    <w:rsid w:val="00341044"/>
    <w:rsid w:val="0034168E"/>
    <w:rsid w:val="003418A2"/>
    <w:rsid w:val="00343B44"/>
    <w:rsid w:val="0034447A"/>
    <w:rsid w:val="003445DC"/>
    <w:rsid w:val="003455DD"/>
    <w:rsid w:val="00345853"/>
    <w:rsid w:val="00346069"/>
    <w:rsid w:val="00346257"/>
    <w:rsid w:val="003466A7"/>
    <w:rsid w:val="0034755B"/>
    <w:rsid w:val="00347EA9"/>
    <w:rsid w:val="003501EC"/>
    <w:rsid w:val="00350C25"/>
    <w:rsid w:val="00350FB9"/>
    <w:rsid w:val="003520FB"/>
    <w:rsid w:val="00352C6B"/>
    <w:rsid w:val="00352CE9"/>
    <w:rsid w:val="00352E61"/>
    <w:rsid w:val="0035321E"/>
    <w:rsid w:val="00353587"/>
    <w:rsid w:val="00353AC1"/>
    <w:rsid w:val="00353B16"/>
    <w:rsid w:val="0035497B"/>
    <w:rsid w:val="00354ACC"/>
    <w:rsid w:val="00354B58"/>
    <w:rsid w:val="00354D60"/>
    <w:rsid w:val="00356C0C"/>
    <w:rsid w:val="003572C5"/>
    <w:rsid w:val="00357568"/>
    <w:rsid w:val="00360A08"/>
    <w:rsid w:val="00360AAE"/>
    <w:rsid w:val="00361950"/>
    <w:rsid w:val="00361BBF"/>
    <w:rsid w:val="003632BB"/>
    <w:rsid w:val="003634AD"/>
    <w:rsid w:val="003635A5"/>
    <w:rsid w:val="00363A22"/>
    <w:rsid w:val="003643B5"/>
    <w:rsid w:val="0036451A"/>
    <w:rsid w:val="00364B56"/>
    <w:rsid w:val="00365240"/>
    <w:rsid w:val="0036655C"/>
    <w:rsid w:val="00366B6B"/>
    <w:rsid w:val="00367DFB"/>
    <w:rsid w:val="00370138"/>
    <w:rsid w:val="003704D1"/>
    <w:rsid w:val="00370F25"/>
    <w:rsid w:val="003717B8"/>
    <w:rsid w:val="00372680"/>
    <w:rsid w:val="00372C57"/>
    <w:rsid w:val="00373CA6"/>
    <w:rsid w:val="00374130"/>
    <w:rsid w:val="003746C5"/>
    <w:rsid w:val="00375592"/>
    <w:rsid w:val="00375C21"/>
    <w:rsid w:val="003766CB"/>
    <w:rsid w:val="00376ACE"/>
    <w:rsid w:val="0037760C"/>
    <w:rsid w:val="00380096"/>
    <w:rsid w:val="00380FFE"/>
    <w:rsid w:val="003814DA"/>
    <w:rsid w:val="00381AFD"/>
    <w:rsid w:val="003823E1"/>
    <w:rsid w:val="00383315"/>
    <w:rsid w:val="00383545"/>
    <w:rsid w:val="003837BE"/>
    <w:rsid w:val="00383B1D"/>
    <w:rsid w:val="003844AB"/>
    <w:rsid w:val="0038533D"/>
    <w:rsid w:val="00385489"/>
    <w:rsid w:val="0038664E"/>
    <w:rsid w:val="00386E1C"/>
    <w:rsid w:val="00387AEE"/>
    <w:rsid w:val="00387BD1"/>
    <w:rsid w:val="00387FCB"/>
    <w:rsid w:val="00390204"/>
    <w:rsid w:val="0039110D"/>
    <w:rsid w:val="0039175F"/>
    <w:rsid w:val="00391ACC"/>
    <w:rsid w:val="003925C1"/>
    <w:rsid w:val="00392DD3"/>
    <w:rsid w:val="00392F0C"/>
    <w:rsid w:val="0039314E"/>
    <w:rsid w:val="0039354B"/>
    <w:rsid w:val="0039376A"/>
    <w:rsid w:val="003957E8"/>
    <w:rsid w:val="00395B74"/>
    <w:rsid w:val="00395FBF"/>
    <w:rsid w:val="003968C9"/>
    <w:rsid w:val="0039739F"/>
    <w:rsid w:val="003978F5"/>
    <w:rsid w:val="00397A83"/>
    <w:rsid w:val="003A048C"/>
    <w:rsid w:val="003A15E9"/>
    <w:rsid w:val="003A2BE2"/>
    <w:rsid w:val="003A4194"/>
    <w:rsid w:val="003A4CF0"/>
    <w:rsid w:val="003A5396"/>
    <w:rsid w:val="003A5B3B"/>
    <w:rsid w:val="003A63D6"/>
    <w:rsid w:val="003A7053"/>
    <w:rsid w:val="003A72F3"/>
    <w:rsid w:val="003A785B"/>
    <w:rsid w:val="003A7A83"/>
    <w:rsid w:val="003A7F3C"/>
    <w:rsid w:val="003B01BE"/>
    <w:rsid w:val="003B0E96"/>
    <w:rsid w:val="003B262D"/>
    <w:rsid w:val="003B28F5"/>
    <w:rsid w:val="003B2A85"/>
    <w:rsid w:val="003B2D47"/>
    <w:rsid w:val="003B343A"/>
    <w:rsid w:val="003B38B9"/>
    <w:rsid w:val="003B42C5"/>
    <w:rsid w:val="003B499C"/>
    <w:rsid w:val="003B4A4B"/>
    <w:rsid w:val="003B7472"/>
    <w:rsid w:val="003B74DD"/>
    <w:rsid w:val="003B7DB9"/>
    <w:rsid w:val="003B7FB4"/>
    <w:rsid w:val="003C01F2"/>
    <w:rsid w:val="003C088D"/>
    <w:rsid w:val="003C1202"/>
    <w:rsid w:val="003C1814"/>
    <w:rsid w:val="003C1CE7"/>
    <w:rsid w:val="003C48B0"/>
    <w:rsid w:val="003C4FF0"/>
    <w:rsid w:val="003C643D"/>
    <w:rsid w:val="003C70A5"/>
    <w:rsid w:val="003C722C"/>
    <w:rsid w:val="003C7D05"/>
    <w:rsid w:val="003D114A"/>
    <w:rsid w:val="003D1A61"/>
    <w:rsid w:val="003D2078"/>
    <w:rsid w:val="003D2AEE"/>
    <w:rsid w:val="003D32FB"/>
    <w:rsid w:val="003D3869"/>
    <w:rsid w:val="003D4306"/>
    <w:rsid w:val="003D4AA2"/>
    <w:rsid w:val="003D5519"/>
    <w:rsid w:val="003D56BA"/>
    <w:rsid w:val="003D6A3E"/>
    <w:rsid w:val="003D703B"/>
    <w:rsid w:val="003D7221"/>
    <w:rsid w:val="003D7255"/>
    <w:rsid w:val="003D7CBB"/>
    <w:rsid w:val="003D7EE7"/>
    <w:rsid w:val="003E0015"/>
    <w:rsid w:val="003E0465"/>
    <w:rsid w:val="003E068A"/>
    <w:rsid w:val="003E0CC7"/>
    <w:rsid w:val="003E109E"/>
    <w:rsid w:val="003E11A6"/>
    <w:rsid w:val="003E1BBE"/>
    <w:rsid w:val="003E24FA"/>
    <w:rsid w:val="003E30DB"/>
    <w:rsid w:val="003E43E2"/>
    <w:rsid w:val="003E49AC"/>
    <w:rsid w:val="003E554F"/>
    <w:rsid w:val="003E66AD"/>
    <w:rsid w:val="003E754D"/>
    <w:rsid w:val="003E7ADF"/>
    <w:rsid w:val="003F0724"/>
    <w:rsid w:val="003F0B73"/>
    <w:rsid w:val="003F22EF"/>
    <w:rsid w:val="003F2579"/>
    <w:rsid w:val="003F2E39"/>
    <w:rsid w:val="003F2E62"/>
    <w:rsid w:val="003F332B"/>
    <w:rsid w:val="003F37EB"/>
    <w:rsid w:val="003F3EF9"/>
    <w:rsid w:val="003F3F30"/>
    <w:rsid w:val="003F48CD"/>
    <w:rsid w:val="003F4C02"/>
    <w:rsid w:val="003F553F"/>
    <w:rsid w:val="003F5875"/>
    <w:rsid w:val="003F6DAD"/>
    <w:rsid w:val="003F70A2"/>
    <w:rsid w:val="003F7193"/>
    <w:rsid w:val="003F7399"/>
    <w:rsid w:val="003F7596"/>
    <w:rsid w:val="003F7F0B"/>
    <w:rsid w:val="004000E6"/>
    <w:rsid w:val="00400817"/>
    <w:rsid w:val="00400BB1"/>
    <w:rsid w:val="0040148C"/>
    <w:rsid w:val="00401F7F"/>
    <w:rsid w:val="00402ADE"/>
    <w:rsid w:val="00402C66"/>
    <w:rsid w:val="0040300E"/>
    <w:rsid w:val="00404251"/>
    <w:rsid w:val="00404992"/>
    <w:rsid w:val="0040535E"/>
    <w:rsid w:val="00405AD3"/>
    <w:rsid w:val="00405BAA"/>
    <w:rsid w:val="0040619A"/>
    <w:rsid w:val="00406D40"/>
    <w:rsid w:val="004072DE"/>
    <w:rsid w:val="00410375"/>
    <w:rsid w:val="004103D9"/>
    <w:rsid w:val="00410AF2"/>
    <w:rsid w:val="00411204"/>
    <w:rsid w:val="004112C3"/>
    <w:rsid w:val="00411334"/>
    <w:rsid w:val="00411D7E"/>
    <w:rsid w:val="004128BA"/>
    <w:rsid w:val="00412D61"/>
    <w:rsid w:val="0041323A"/>
    <w:rsid w:val="00413518"/>
    <w:rsid w:val="004139DB"/>
    <w:rsid w:val="00413D23"/>
    <w:rsid w:val="00414011"/>
    <w:rsid w:val="00414149"/>
    <w:rsid w:val="0041476B"/>
    <w:rsid w:val="00414B3F"/>
    <w:rsid w:val="00414EDF"/>
    <w:rsid w:val="00414FD5"/>
    <w:rsid w:val="00415031"/>
    <w:rsid w:val="00416066"/>
    <w:rsid w:val="0041689E"/>
    <w:rsid w:val="00417269"/>
    <w:rsid w:val="00417464"/>
    <w:rsid w:val="004202AE"/>
    <w:rsid w:val="00420597"/>
    <w:rsid w:val="00421790"/>
    <w:rsid w:val="00421E94"/>
    <w:rsid w:val="00423237"/>
    <w:rsid w:val="004259C3"/>
    <w:rsid w:val="004269D0"/>
    <w:rsid w:val="00426A9B"/>
    <w:rsid w:val="00426CE8"/>
    <w:rsid w:val="00426DFA"/>
    <w:rsid w:val="00426EEC"/>
    <w:rsid w:val="00427A24"/>
    <w:rsid w:val="00427F72"/>
    <w:rsid w:val="00430830"/>
    <w:rsid w:val="00430F2E"/>
    <w:rsid w:val="00431691"/>
    <w:rsid w:val="00431790"/>
    <w:rsid w:val="00431AE6"/>
    <w:rsid w:val="00433483"/>
    <w:rsid w:val="00433B4D"/>
    <w:rsid w:val="0043435A"/>
    <w:rsid w:val="00434843"/>
    <w:rsid w:val="004359CE"/>
    <w:rsid w:val="00435C90"/>
    <w:rsid w:val="0043648C"/>
    <w:rsid w:val="0043740E"/>
    <w:rsid w:val="0043778D"/>
    <w:rsid w:val="00440CCD"/>
    <w:rsid w:val="0044118F"/>
    <w:rsid w:val="004412F7"/>
    <w:rsid w:val="00441BA8"/>
    <w:rsid w:val="004425B5"/>
    <w:rsid w:val="004448CB"/>
    <w:rsid w:val="00445EE4"/>
    <w:rsid w:val="00446A33"/>
    <w:rsid w:val="00446EBD"/>
    <w:rsid w:val="004474F8"/>
    <w:rsid w:val="0044759E"/>
    <w:rsid w:val="004479C3"/>
    <w:rsid w:val="00447A1C"/>
    <w:rsid w:val="004516A3"/>
    <w:rsid w:val="0045185F"/>
    <w:rsid w:val="00452BFF"/>
    <w:rsid w:val="004533FC"/>
    <w:rsid w:val="004535D2"/>
    <w:rsid w:val="00453A88"/>
    <w:rsid w:val="00454F85"/>
    <w:rsid w:val="00455CE8"/>
    <w:rsid w:val="00455F4E"/>
    <w:rsid w:val="00456FC6"/>
    <w:rsid w:val="00457D4E"/>
    <w:rsid w:val="00460791"/>
    <w:rsid w:val="00460F26"/>
    <w:rsid w:val="0046117B"/>
    <w:rsid w:val="00461799"/>
    <w:rsid w:val="00461A3C"/>
    <w:rsid w:val="00462651"/>
    <w:rsid w:val="00463E8C"/>
    <w:rsid w:val="004640E0"/>
    <w:rsid w:val="004646A2"/>
    <w:rsid w:val="00464A09"/>
    <w:rsid w:val="00465ABA"/>
    <w:rsid w:val="0046608F"/>
    <w:rsid w:val="004668DD"/>
    <w:rsid w:val="00466DF1"/>
    <w:rsid w:val="0047061D"/>
    <w:rsid w:val="00471B83"/>
    <w:rsid w:val="00472751"/>
    <w:rsid w:val="0047327A"/>
    <w:rsid w:val="00473296"/>
    <w:rsid w:val="0047363B"/>
    <w:rsid w:val="00473691"/>
    <w:rsid w:val="00473BE5"/>
    <w:rsid w:val="00473D71"/>
    <w:rsid w:val="004746DA"/>
    <w:rsid w:val="00474705"/>
    <w:rsid w:val="0047524B"/>
    <w:rsid w:val="004755AF"/>
    <w:rsid w:val="00476707"/>
    <w:rsid w:val="00477BB4"/>
    <w:rsid w:val="00480976"/>
    <w:rsid w:val="00480A54"/>
    <w:rsid w:val="00480CA5"/>
    <w:rsid w:val="0048137A"/>
    <w:rsid w:val="004813AC"/>
    <w:rsid w:val="00481916"/>
    <w:rsid w:val="00481FAB"/>
    <w:rsid w:val="00481FCB"/>
    <w:rsid w:val="0048286B"/>
    <w:rsid w:val="00482CCF"/>
    <w:rsid w:val="00482F2A"/>
    <w:rsid w:val="0048338D"/>
    <w:rsid w:val="00484C6B"/>
    <w:rsid w:val="0048572E"/>
    <w:rsid w:val="00485A5E"/>
    <w:rsid w:val="004861BD"/>
    <w:rsid w:val="00486C0D"/>
    <w:rsid w:val="00487F65"/>
    <w:rsid w:val="00490219"/>
    <w:rsid w:val="00490464"/>
    <w:rsid w:val="00490706"/>
    <w:rsid w:val="0049125F"/>
    <w:rsid w:val="004917A7"/>
    <w:rsid w:val="00492354"/>
    <w:rsid w:val="004925C4"/>
    <w:rsid w:val="00492711"/>
    <w:rsid w:val="0049281C"/>
    <w:rsid w:val="00493FE5"/>
    <w:rsid w:val="004945EE"/>
    <w:rsid w:val="00494893"/>
    <w:rsid w:val="00495C98"/>
    <w:rsid w:val="00495D39"/>
    <w:rsid w:val="004960D3"/>
    <w:rsid w:val="00496196"/>
    <w:rsid w:val="004968CD"/>
    <w:rsid w:val="00496CDA"/>
    <w:rsid w:val="004A04C7"/>
    <w:rsid w:val="004A0BD9"/>
    <w:rsid w:val="004A1769"/>
    <w:rsid w:val="004A1883"/>
    <w:rsid w:val="004A19FB"/>
    <w:rsid w:val="004A1F87"/>
    <w:rsid w:val="004A2068"/>
    <w:rsid w:val="004A24C9"/>
    <w:rsid w:val="004A290F"/>
    <w:rsid w:val="004A296E"/>
    <w:rsid w:val="004A3299"/>
    <w:rsid w:val="004A4586"/>
    <w:rsid w:val="004A5FBB"/>
    <w:rsid w:val="004A6354"/>
    <w:rsid w:val="004A67C9"/>
    <w:rsid w:val="004A696C"/>
    <w:rsid w:val="004A6DCD"/>
    <w:rsid w:val="004A7431"/>
    <w:rsid w:val="004A7EF7"/>
    <w:rsid w:val="004B0069"/>
    <w:rsid w:val="004B0D23"/>
    <w:rsid w:val="004B1462"/>
    <w:rsid w:val="004B167D"/>
    <w:rsid w:val="004B1E3C"/>
    <w:rsid w:val="004B2F89"/>
    <w:rsid w:val="004B2FB6"/>
    <w:rsid w:val="004B30E3"/>
    <w:rsid w:val="004B35EB"/>
    <w:rsid w:val="004B3A8B"/>
    <w:rsid w:val="004B3ABD"/>
    <w:rsid w:val="004B4FCA"/>
    <w:rsid w:val="004B6153"/>
    <w:rsid w:val="004B65CD"/>
    <w:rsid w:val="004B6653"/>
    <w:rsid w:val="004B6F97"/>
    <w:rsid w:val="004C06F7"/>
    <w:rsid w:val="004C1B12"/>
    <w:rsid w:val="004C2741"/>
    <w:rsid w:val="004C2D59"/>
    <w:rsid w:val="004C3061"/>
    <w:rsid w:val="004C360A"/>
    <w:rsid w:val="004C3D97"/>
    <w:rsid w:val="004C5342"/>
    <w:rsid w:val="004C5740"/>
    <w:rsid w:val="004C5B8D"/>
    <w:rsid w:val="004C5E03"/>
    <w:rsid w:val="004C63E2"/>
    <w:rsid w:val="004C6AA4"/>
    <w:rsid w:val="004C6FBA"/>
    <w:rsid w:val="004C7FB7"/>
    <w:rsid w:val="004D0031"/>
    <w:rsid w:val="004D06A4"/>
    <w:rsid w:val="004D0786"/>
    <w:rsid w:val="004D1190"/>
    <w:rsid w:val="004D196E"/>
    <w:rsid w:val="004D1AEE"/>
    <w:rsid w:val="004D2F05"/>
    <w:rsid w:val="004D2FA3"/>
    <w:rsid w:val="004D3B40"/>
    <w:rsid w:val="004D58D1"/>
    <w:rsid w:val="004D5C3E"/>
    <w:rsid w:val="004D6365"/>
    <w:rsid w:val="004D6BD0"/>
    <w:rsid w:val="004E1276"/>
    <w:rsid w:val="004E1498"/>
    <w:rsid w:val="004E171C"/>
    <w:rsid w:val="004E25BC"/>
    <w:rsid w:val="004E4017"/>
    <w:rsid w:val="004E4431"/>
    <w:rsid w:val="004E4D0C"/>
    <w:rsid w:val="004E4D13"/>
    <w:rsid w:val="004E5D92"/>
    <w:rsid w:val="004E5F23"/>
    <w:rsid w:val="004E6186"/>
    <w:rsid w:val="004E6224"/>
    <w:rsid w:val="004E68CA"/>
    <w:rsid w:val="004E6A96"/>
    <w:rsid w:val="004E7CB3"/>
    <w:rsid w:val="004E7ED6"/>
    <w:rsid w:val="004F05AA"/>
    <w:rsid w:val="004F07C6"/>
    <w:rsid w:val="004F0F18"/>
    <w:rsid w:val="004F1C96"/>
    <w:rsid w:val="004F235D"/>
    <w:rsid w:val="004F2D5F"/>
    <w:rsid w:val="004F2E71"/>
    <w:rsid w:val="004F53E1"/>
    <w:rsid w:val="004F5B9C"/>
    <w:rsid w:val="004F5BB2"/>
    <w:rsid w:val="004F67D8"/>
    <w:rsid w:val="004F76DC"/>
    <w:rsid w:val="004F77E2"/>
    <w:rsid w:val="004F7C22"/>
    <w:rsid w:val="005009FF"/>
    <w:rsid w:val="00501AFC"/>
    <w:rsid w:val="00501F92"/>
    <w:rsid w:val="00504630"/>
    <w:rsid w:val="005060DC"/>
    <w:rsid w:val="00506212"/>
    <w:rsid w:val="0050663D"/>
    <w:rsid w:val="0050738E"/>
    <w:rsid w:val="005108A1"/>
    <w:rsid w:val="00510A72"/>
    <w:rsid w:val="00511272"/>
    <w:rsid w:val="005112DA"/>
    <w:rsid w:val="00511772"/>
    <w:rsid w:val="00511992"/>
    <w:rsid w:val="005121B0"/>
    <w:rsid w:val="00512E6D"/>
    <w:rsid w:val="005145A2"/>
    <w:rsid w:val="00514A97"/>
    <w:rsid w:val="00514FCE"/>
    <w:rsid w:val="00515352"/>
    <w:rsid w:val="00515360"/>
    <w:rsid w:val="005160D9"/>
    <w:rsid w:val="00516587"/>
    <w:rsid w:val="00516B59"/>
    <w:rsid w:val="00517D60"/>
    <w:rsid w:val="00520819"/>
    <w:rsid w:val="00521681"/>
    <w:rsid w:val="00521B04"/>
    <w:rsid w:val="00521C1B"/>
    <w:rsid w:val="00521E21"/>
    <w:rsid w:val="005222C6"/>
    <w:rsid w:val="00522E86"/>
    <w:rsid w:val="0052344A"/>
    <w:rsid w:val="00523733"/>
    <w:rsid w:val="00523925"/>
    <w:rsid w:val="00523CFD"/>
    <w:rsid w:val="00524109"/>
    <w:rsid w:val="0052415A"/>
    <w:rsid w:val="00524526"/>
    <w:rsid w:val="00524C1D"/>
    <w:rsid w:val="00525977"/>
    <w:rsid w:val="00525A66"/>
    <w:rsid w:val="005263CA"/>
    <w:rsid w:val="00526FE9"/>
    <w:rsid w:val="005300FA"/>
    <w:rsid w:val="0053089C"/>
    <w:rsid w:val="00530930"/>
    <w:rsid w:val="00530CD0"/>
    <w:rsid w:val="0053198B"/>
    <w:rsid w:val="005319D3"/>
    <w:rsid w:val="00532120"/>
    <w:rsid w:val="005329E2"/>
    <w:rsid w:val="00533391"/>
    <w:rsid w:val="0053389F"/>
    <w:rsid w:val="00533C87"/>
    <w:rsid w:val="00533E16"/>
    <w:rsid w:val="00535A80"/>
    <w:rsid w:val="00535D07"/>
    <w:rsid w:val="0053670A"/>
    <w:rsid w:val="00536785"/>
    <w:rsid w:val="00536828"/>
    <w:rsid w:val="0053709C"/>
    <w:rsid w:val="0053768D"/>
    <w:rsid w:val="00537D2D"/>
    <w:rsid w:val="00537E01"/>
    <w:rsid w:val="00540980"/>
    <w:rsid w:val="005415D2"/>
    <w:rsid w:val="00541E69"/>
    <w:rsid w:val="005422A5"/>
    <w:rsid w:val="005437F0"/>
    <w:rsid w:val="00543BB6"/>
    <w:rsid w:val="00543DA3"/>
    <w:rsid w:val="00543EED"/>
    <w:rsid w:val="00544416"/>
    <w:rsid w:val="005449A6"/>
    <w:rsid w:val="0054507F"/>
    <w:rsid w:val="0054568A"/>
    <w:rsid w:val="005467F5"/>
    <w:rsid w:val="00546D9D"/>
    <w:rsid w:val="00547364"/>
    <w:rsid w:val="00547E86"/>
    <w:rsid w:val="00550251"/>
    <w:rsid w:val="0055039B"/>
    <w:rsid w:val="0055093A"/>
    <w:rsid w:val="00550BF5"/>
    <w:rsid w:val="0055133B"/>
    <w:rsid w:val="00551F79"/>
    <w:rsid w:val="0055297F"/>
    <w:rsid w:val="005531C1"/>
    <w:rsid w:val="00553825"/>
    <w:rsid w:val="00554A98"/>
    <w:rsid w:val="00555A38"/>
    <w:rsid w:val="00555A7B"/>
    <w:rsid w:val="0055624D"/>
    <w:rsid w:val="00556317"/>
    <w:rsid w:val="00556967"/>
    <w:rsid w:val="005569B8"/>
    <w:rsid w:val="00561001"/>
    <w:rsid w:val="005621A0"/>
    <w:rsid w:val="005621C8"/>
    <w:rsid w:val="00562D6B"/>
    <w:rsid w:val="00563561"/>
    <w:rsid w:val="00563756"/>
    <w:rsid w:val="0056402B"/>
    <w:rsid w:val="00564B2F"/>
    <w:rsid w:val="00564E92"/>
    <w:rsid w:val="005657B9"/>
    <w:rsid w:val="00565D69"/>
    <w:rsid w:val="00566A40"/>
    <w:rsid w:val="00566C91"/>
    <w:rsid w:val="005677BC"/>
    <w:rsid w:val="00570AA3"/>
    <w:rsid w:val="0057142B"/>
    <w:rsid w:val="005720CC"/>
    <w:rsid w:val="00572FF9"/>
    <w:rsid w:val="005739C0"/>
    <w:rsid w:val="005739FD"/>
    <w:rsid w:val="00575ABD"/>
    <w:rsid w:val="00575AEF"/>
    <w:rsid w:val="005766C5"/>
    <w:rsid w:val="00576795"/>
    <w:rsid w:val="00577761"/>
    <w:rsid w:val="00577EF6"/>
    <w:rsid w:val="0058002A"/>
    <w:rsid w:val="0058072F"/>
    <w:rsid w:val="00580826"/>
    <w:rsid w:val="0058088E"/>
    <w:rsid w:val="00581083"/>
    <w:rsid w:val="00581F70"/>
    <w:rsid w:val="00581F8C"/>
    <w:rsid w:val="00583421"/>
    <w:rsid w:val="00584237"/>
    <w:rsid w:val="005845A2"/>
    <w:rsid w:val="00585162"/>
    <w:rsid w:val="0058595E"/>
    <w:rsid w:val="00585F71"/>
    <w:rsid w:val="005860A8"/>
    <w:rsid w:val="00586C0F"/>
    <w:rsid w:val="00586EAF"/>
    <w:rsid w:val="00587867"/>
    <w:rsid w:val="00590C60"/>
    <w:rsid w:val="00591427"/>
    <w:rsid w:val="00592540"/>
    <w:rsid w:val="005938FC"/>
    <w:rsid w:val="00593BCB"/>
    <w:rsid w:val="00594007"/>
    <w:rsid w:val="0059423A"/>
    <w:rsid w:val="00594A41"/>
    <w:rsid w:val="0059556D"/>
    <w:rsid w:val="0059649F"/>
    <w:rsid w:val="00596782"/>
    <w:rsid w:val="00596D90"/>
    <w:rsid w:val="005974E9"/>
    <w:rsid w:val="005A0279"/>
    <w:rsid w:val="005A039C"/>
    <w:rsid w:val="005A11E7"/>
    <w:rsid w:val="005A16EA"/>
    <w:rsid w:val="005A184A"/>
    <w:rsid w:val="005A2090"/>
    <w:rsid w:val="005A26B8"/>
    <w:rsid w:val="005A34BB"/>
    <w:rsid w:val="005A3FF0"/>
    <w:rsid w:val="005A45D9"/>
    <w:rsid w:val="005A48A5"/>
    <w:rsid w:val="005A491D"/>
    <w:rsid w:val="005A496E"/>
    <w:rsid w:val="005A5240"/>
    <w:rsid w:val="005A554F"/>
    <w:rsid w:val="005A55F2"/>
    <w:rsid w:val="005A61B9"/>
    <w:rsid w:val="005A6433"/>
    <w:rsid w:val="005A7521"/>
    <w:rsid w:val="005A7751"/>
    <w:rsid w:val="005A7CFD"/>
    <w:rsid w:val="005B099D"/>
    <w:rsid w:val="005B0A42"/>
    <w:rsid w:val="005B0AB0"/>
    <w:rsid w:val="005B14FA"/>
    <w:rsid w:val="005B165C"/>
    <w:rsid w:val="005B1C80"/>
    <w:rsid w:val="005B2928"/>
    <w:rsid w:val="005B4D6E"/>
    <w:rsid w:val="005B547E"/>
    <w:rsid w:val="005B61D3"/>
    <w:rsid w:val="005C0253"/>
    <w:rsid w:val="005C07F2"/>
    <w:rsid w:val="005C1153"/>
    <w:rsid w:val="005C1164"/>
    <w:rsid w:val="005C16A0"/>
    <w:rsid w:val="005C1B30"/>
    <w:rsid w:val="005C1DEC"/>
    <w:rsid w:val="005C2147"/>
    <w:rsid w:val="005C2DE2"/>
    <w:rsid w:val="005C42AD"/>
    <w:rsid w:val="005C4F9D"/>
    <w:rsid w:val="005C5293"/>
    <w:rsid w:val="005C53CB"/>
    <w:rsid w:val="005C666D"/>
    <w:rsid w:val="005C6681"/>
    <w:rsid w:val="005C6854"/>
    <w:rsid w:val="005C7A78"/>
    <w:rsid w:val="005C7CDF"/>
    <w:rsid w:val="005D0D4B"/>
    <w:rsid w:val="005D0FB1"/>
    <w:rsid w:val="005D142D"/>
    <w:rsid w:val="005D1BD5"/>
    <w:rsid w:val="005D383F"/>
    <w:rsid w:val="005D3AF7"/>
    <w:rsid w:val="005D4280"/>
    <w:rsid w:val="005D4537"/>
    <w:rsid w:val="005D458A"/>
    <w:rsid w:val="005D473E"/>
    <w:rsid w:val="005D5427"/>
    <w:rsid w:val="005D5AB5"/>
    <w:rsid w:val="005D6F69"/>
    <w:rsid w:val="005D7829"/>
    <w:rsid w:val="005D78CB"/>
    <w:rsid w:val="005E0126"/>
    <w:rsid w:val="005E095A"/>
    <w:rsid w:val="005E0C77"/>
    <w:rsid w:val="005E1586"/>
    <w:rsid w:val="005E16B5"/>
    <w:rsid w:val="005E1DC8"/>
    <w:rsid w:val="005E1E89"/>
    <w:rsid w:val="005E2325"/>
    <w:rsid w:val="005E416B"/>
    <w:rsid w:val="005E542B"/>
    <w:rsid w:val="005E6C8B"/>
    <w:rsid w:val="005E6E61"/>
    <w:rsid w:val="005E7B70"/>
    <w:rsid w:val="005F0D5C"/>
    <w:rsid w:val="005F120D"/>
    <w:rsid w:val="005F16ED"/>
    <w:rsid w:val="005F1A84"/>
    <w:rsid w:val="005F1C63"/>
    <w:rsid w:val="005F1E37"/>
    <w:rsid w:val="005F2407"/>
    <w:rsid w:val="005F2709"/>
    <w:rsid w:val="005F2F2A"/>
    <w:rsid w:val="005F3050"/>
    <w:rsid w:val="005F31C5"/>
    <w:rsid w:val="005F32F4"/>
    <w:rsid w:val="005F34FE"/>
    <w:rsid w:val="005F3535"/>
    <w:rsid w:val="005F4B6A"/>
    <w:rsid w:val="005F5DBC"/>
    <w:rsid w:val="005F712D"/>
    <w:rsid w:val="005F76F2"/>
    <w:rsid w:val="005F7FE1"/>
    <w:rsid w:val="00600322"/>
    <w:rsid w:val="00600832"/>
    <w:rsid w:val="00601A5F"/>
    <w:rsid w:val="00601BD5"/>
    <w:rsid w:val="00601D71"/>
    <w:rsid w:val="006025F7"/>
    <w:rsid w:val="006027DF"/>
    <w:rsid w:val="006030D9"/>
    <w:rsid w:val="00603914"/>
    <w:rsid w:val="00603C9B"/>
    <w:rsid w:val="006047DA"/>
    <w:rsid w:val="00604B74"/>
    <w:rsid w:val="006059D2"/>
    <w:rsid w:val="00605FC3"/>
    <w:rsid w:val="006063BA"/>
    <w:rsid w:val="00606491"/>
    <w:rsid w:val="00607B8E"/>
    <w:rsid w:val="006102C0"/>
    <w:rsid w:val="006106A6"/>
    <w:rsid w:val="00611B9E"/>
    <w:rsid w:val="00611FC7"/>
    <w:rsid w:val="0061298F"/>
    <w:rsid w:val="00612AD1"/>
    <w:rsid w:val="00612AD9"/>
    <w:rsid w:val="006138C8"/>
    <w:rsid w:val="0061424A"/>
    <w:rsid w:val="006146C6"/>
    <w:rsid w:val="00614A93"/>
    <w:rsid w:val="00614D16"/>
    <w:rsid w:val="0061572A"/>
    <w:rsid w:val="00615DED"/>
    <w:rsid w:val="00617445"/>
    <w:rsid w:val="00617B9D"/>
    <w:rsid w:val="00620971"/>
    <w:rsid w:val="006213CD"/>
    <w:rsid w:val="00621A75"/>
    <w:rsid w:val="00621B6E"/>
    <w:rsid w:val="00622FA7"/>
    <w:rsid w:val="0062308B"/>
    <w:rsid w:val="006230AC"/>
    <w:rsid w:val="0062331A"/>
    <w:rsid w:val="0062405B"/>
    <w:rsid w:val="00624376"/>
    <w:rsid w:val="00625486"/>
    <w:rsid w:val="00625EE5"/>
    <w:rsid w:val="00626496"/>
    <w:rsid w:val="00626C4B"/>
    <w:rsid w:val="00626F55"/>
    <w:rsid w:val="0063033E"/>
    <w:rsid w:val="00630A25"/>
    <w:rsid w:val="00630BC7"/>
    <w:rsid w:val="006325A1"/>
    <w:rsid w:val="006332DA"/>
    <w:rsid w:val="00634377"/>
    <w:rsid w:val="006343B2"/>
    <w:rsid w:val="00635DE1"/>
    <w:rsid w:val="006367BA"/>
    <w:rsid w:val="00637612"/>
    <w:rsid w:val="0064067E"/>
    <w:rsid w:val="006427C4"/>
    <w:rsid w:val="00642A10"/>
    <w:rsid w:val="00642BB0"/>
    <w:rsid w:val="006430E8"/>
    <w:rsid w:val="006432C7"/>
    <w:rsid w:val="006436C0"/>
    <w:rsid w:val="00644057"/>
    <w:rsid w:val="006445B4"/>
    <w:rsid w:val="00645403"/>
    <w:rsid w:val="0064679B"/>
    <w:rsid w:val="00647216"/>
    <w:rsid w:val="00647240"/>
    <w:rsid w:val="0065002B"/>
    <w:rsid w:val="006506E6"/>
    <w:rsid w:val="00651A36"/>
    <w:rsid w:val="00651AB7"/>
    <w:rsid w:val="00652807"/>
    <w:rsid w:val="00653FDE"/>
    <w:rsid w:val="006540EC"/>
    <w:rsid w:val="00655626"/>
    <w:rsid w:val="00655985"/>
    <w:rsid w:val="00655B46"/>
    <w:rsid w:val="00656D12"/>
    <w:rsid w:val="00657747"/>
    <w:rsid w:val="00657CE0"/>
    <w:rsid w:val="006602FF"/>
    <w:rsid w:val="006604BB"/>
    <w:rsid w:val="006609EB"/>
    <w:rsid w:val="00660EFE"/>
    <w:rsid w:val="00661237"/>
    <w:rsid w:val="00662A75"/>
    <w:rsid w:val="00662B9E"/>
    <w:rsid w:val="00662C83"/>
    <w:rsid w:val="00662D69"/>
    <w:rsid w:val="0066399F"/>
    <w:rsid w:val="006639BA"/>
    <w:rsid w:val="0066461A"/>
    <w:rsid w:val="00665250"/>
    <w:rsid w:val="00665C24"/>
    <w:rsid w:val="00665C2A"/>
    <w:rsid w:val="006676D9"/>
    <w:rsid w:val="00667842"/>
    <w:rsid w:val="00667A4D"/>
    <w:rsid w:val="00667A94"/>
    <w:rsid w:val="006708C9"/>
    <w:rsid w:val="00670BA8"/>
    <w:rsid w:val="00670DA7"/>
    <w:rsid w:val="00670DE7"/>
    <w:rsid w:val="00670FB5"/>
    <w:rsid w:val="0067100D"/>
    <w:rsid w:val="00671227"/>
    <w:rsid w:val="006716FA"/>
    <w:rsid w:val="006726CE"/>
    <w:rsid w:val="00673866"/>
    <w:rsid w:val="00673925"/>
    <w:rsid w:val="0067413D"/>
    <w:rsid w:val="00674ACD"/>
    <w:rsid w:val="006755EF"/>
    <w:rsid w:val="00675CF1"/>
    <w:rsid w:val="00676050"/>
    <w:rsid w:val="006760BB"/>
    <w:rsid w:val="00676EFA"/>
    <w:rsid w:val="00677148"/>
    <w:rsid w:val="00677EAF"/>
    <w:rsid w:val="00680031"/>
    <w:rsid w:val="00680881"/>
    <w:rsid w:val="00680C30"/>
    <w:rsid w:val="0068188E"/>
    <w:rsid w:val="00681946"/>
    <w:rsid w:val="006822D0"/>
    <w:rsid w:val="0068268F"/>
    <w:rsid w:val="006828B3"/>
    <w:rsid w:val="00682940"/>
    <w:rsid w:val="00682EE7"/>
    <w:rsid w:val="00682EFF"/>
    <w:rsid w:val="00683B42"/>
    <w:rsid w:val="00683B7E"/>
    <w:rsid w:val="0068406D"/>
    <w:rsid w:val="0068429C"/>
    <w:rsid w:val="00684319"/>
    <w:rsid w:val="0068443A"/>
    <w:rsid w:val="00685691"/>
    <w:rsid w:val="006864A4"/>
    <w:rsid w:val="00686884"/>
    <w:rsid w:val="006869C7"/>
    <w:rsid w:val="00687419"/>
    <w:rsid w:val="00690EAF"/>
    <w:rsid w:val="00691844"/>
    <w:rsid w:val="00691879"/>
    <w:rsid w:val="00692B53"/>
    <w:rsid w:val="00693B5E"/>
    <w:rsid w:val="006941AF"/>
    <w:rsid w:val="00695434"/>
    <w:rsid w:val="00695E3D"/>
    <w:rsid w:val="006961E0"/>
    <w:rsid w:val="00697166"/>
    <w:rsid w:val="006A08B7"/>
    <w:rsid w:val="006A095B"/>
    <w:rsid w:val="006A0E95"/>
    <w:rsid w:val="006A2809"/>
    <w:rsid w:val="006A2940"/>
    <w:rsid w:val="006A41CA"/>
    <w:rsid w:val="006A466D"/>
    <w:rsid w:val="006A5118"/>
    <w:rsid w:val="006A545D"/>
    <w:rsid w:val="006A5BB5"/>
    <w:rsid w:val="006A6348"/>
    <w:rsid w:val="006A7429"/>
    <w:rsid w:val="006B0CCE"/>
    <w:rsid w:val="006B0F16"/>
    <w:rsid w:val="006B1625"/>
    <w:rsid w:val="006B1627"/>
    <w:rsid w:val="006B1A8A"/>
    <w:rsid w:val="006B234D"/>
    <w:rsid w:val="006B2581"/>
    <w:rsid w:val="006B34F9"/>
    <w:rsid w:val="006B37A6"/>
    <w:rsid w:val="006B38F1"/>
    <w:rsid w:val="006B3F8E"/>
    <w:rsid w:val="006B4BE5"/>
    <w:rsid w:val="006B4D76"/>
    <w:rsid w:val="006B4EF1"/>
    <w:rsid w:val="006B52C8"/>
    <w:rsid w:val="006B5FAA"/>
    <w:rsid w:val="006B68A7"/>
    <w:rsid w:val="006B6CFD"/>
    <w:rsid w:val="006B6EE2"/>
    <w:rsid w:val="006B7091"/>
    <w:rsid w:val="006C1028"/>
    <w:rsid w:val="006C20E9"/>
    <w:rsid w:val="006C2E60"/>
    <w:rsid w:val="006C3B0A"/>
    <w:rsid w:val="006C3D44"/>
    <w:rsid w:val="006C4A54"/>
    <w:rsid w:val="006C4A79"/>
    <w:rsid w:val="006C4E72"/>
    <w:rsid w:val="006C5874"/>
    <w:rsid w:val="006C5C9A"/>
    <w:rsid w:val="006C6399"/>
    <w:rsid w:val="006C69E1"/>
    <w:rsid w:val="006C6C87"/>
    <w:rsid w:val="006C7619"/>
    <w:rsid w:val="006C7D78"/>
    <w:rsid w:val="006C7DED"/>
    <w:rsid w:val="006D03AD"/>
    <w:rsid w:val="006D07B4"/>
    <w:rsid w:val="006D0D5B"/>
    <w:rsid w:val="006D1889"/>
    <w:rsid w:val="006D1FB5"/>
    <w:rsid w:val="006D217F"/>
    <w:rsid w:val="006D2DB7"/>
    <w:rsid w:val="006D3A48"/>
    <w:rsid w:val="006D3FAB"/>
    <w:rsid w:val="006D593C"/>
    <w:rsid w:val="006D5ACC"/>
    <w:rsid w:val="006D5BE1"/>
    <w:rsid w:val="006D62B9"/>
    <w:rsid w:val="006D6833"/>
    <w:rsid w:val="006D69C0"/>
    <w:rsid w:val="006D6EF1"/>
    <w:rsid w:val="006D7C17"/>
    <w:rsid w:val="006E0339"/>
    <w:rsid w:val="006E03CA"/>
    <w:rsid w:val="006E1647"/>
    <w:rsid w:val="006E16FE"/>
    <w:rsid w:val="006E1FAA"/>
    <w:rsid w:val="006E20E3"/>
    <w:rsid w:val="006E23AB"/>
    <w:rsid w:val="006E2579"/>
    <w:rsid w:val="006E2BD4"/>
    <w:rsid w:val="006E2BD9"/>
    <w:rsid w:val="006E39CF"/>
    <w:rsid w:val="006E3AA5"/>
    <w:rsid w:val="006E3AC5"/>
    <w:rsid w:val="006E40E0"/>
    <w:rsid w:val="006E4ABD"/>
    <w:rsid w:val="006E5321"/>
    <w:rsid w:val="006E6243"/>
    <w:rsid w:val="006E6741"/>
    <w:rsid w:val="006E6D3D"/>
    <w:rsid w:val="006E6EA6"/>
    <w:rsid w:val="006E73A3"/>
    <w:rsid w:val="006E747F"/>
    <w:rsid w:val="006E78CE"/>
    <w:rsid w:val="006F13F7"/>
    <w:rsid w:val="006F1A5A"/>
    <w:rsid w:val="006F20BB"/>
    <w:rsid w:val="006F29EC"/>
    <w:rsid w:val="006F4078"/>
    <w:rsid w:val="006F4631"/>
    <w:rsid w:val="006F6A0F"/>
    <w:rsid w:val="006F6CE4"/>
    <w:rsid w:val="006F7FE8"/>
    <w:rsid w:val="00700A2E"/>
    <w:rsid w:val="00700EF6"/>
    <w:rsid w:val="0070229A"/>
    <w:rsid w:val="00702848"/>
    <w:rsid w:val="00702FB9"/>
    <w:rsid w:val="00704513"/>
    <w:rsid w:val="00704CB1"/>
    <w:rsid w:val="00704ED7"/>
    <w:rsid w:val="0070654B"/>
    <w:rsid w:val="0070672C"/>
    <w:rsid w:val="007069F8"/>
    <w:rsid w:val="00711003"/>
    <w:rsid w:val="0071108E"/>
    <w:rsid w:val="007114DC"/>
    <w:rsid w:val="00711859"/>
    <w:rsid w:val="00711B3D"/>
    <w:rsid w:val="00712704"/>
    <w:rsid w:val="007129EE"/>
    <w:rsid w:val="00712E59"/>
    <w:rsid w:val="0071306E"/>
    <w:rsid w:val="00713550"/>
    <w:rsid w:val="00713761"/>
    <w:rsid w:val="00713801"/>
    <w:rsid w:val="00715327"/>
    <w:rsid w:val="00716DF0"/>
    <w:rsid w:val="00717005"/>
    <w:rsid w:val="007172C9"/>
    <w:rsid w:val="0072050B"/>
    <w:rsid w:val="007208D4"/>
    <w:rsid w:val="00721B4D"/>
    <w:rsid w:val="00721F94"/>
    <w:rsid w:val="00722C38"/>
    <w:rsid w:val="0072303C"/>
    <w:rsid w:val="007242AB"/>
    <w:rsid w:val="00724451"/>
    <w:rsid w:val="00724CE4"/>
    <w:rsid w:val="00725262"/>
    <w:rsid w:val="0072563B"/>
    <w:rsid w:val="00725E3E"/>
    <w:rsid w:val="00726232"/>
    <w:rsid w:val="00727165"/>
    <w:rsid w:val="00727D0C"/>
    <w:rsid w:val="00730197"/>
    <w:rsid w:val="00731DC2"/>
    <w:rsid w:val="00731E37"/>
    <w:rsid w:val="00731F4C"/>
    <w:rsid w:val="00732462"/>
    <w:rsid w:val="00732518"/>
    <w:rsid w:val="00732773"/>
    <w:rsid w:val="00732809"/>
    <w:rsid w:val="00732B64"/>
    <w:rsid w:val="00732C6F"/>
    <w:rsid w:val="00733B6A"/>
    <w:rsid w:val="00734E56"/>
    <w:rsid w:val="00736209"/>
    <w:rsid w:val="007363CC"/>
    <w:rsid w:val="00736957"/>
    <w:rsid w:val="00736C95"/>
    <w:rsid w:val="00736D1F"/>
    <w:rsid w:val="00736E9F"/>
    <w:rsid w:val="007371B7"/>
    <w:rsid w:val="00737A95"/>
    <w:rsid w:val="0074096F"/>
    <w:rsid w:val="00741AAD"/>
    <w:rsid w:val="00742C39"/>
    <w:rsid w:val="00742E38"/>
    <w:rsid w:val="007430FC"/>
    <w:rsid w:val="00744747"/>
    <w:rsid w:val="007447CC"/>
    <w:rsid w:val="00744C18"/>
    <w:rsid w:val="007451D6"/>
    <w:rsid w:val="00746337"/>
    <w:rsid w:val="007464EE"/>
    <w:rsid w:val="007466A1"/>
    <w:rsid w:val="00746742"/>
    <w:rsid w:val="0074685C"/>
    <w:rsid w:val="0074790D"/>
    <w:rsid w:val="00747E1F"/>
    <w:rsid w:val="00750702"/>
    <w:rsid w:val="00752005"/>
    <w:rsid w:val="0075239F"/>
    <w:rsid w:val="00752725"/>
    <w:rsid w:val="007532A1"/>
    <w:rsid w:val="0075372F"/>
    <w:rsid w:val="00753743"/>
    <w:rsid w:val="00753958"/>
    <w:rsid w:val="007539AC"/>
    <w:rsid w:val="00754223"/>
    <w:rsid w:val="00754286"/>
    <w:rsid w:val="0075491F"/>
    <w:rsid w:val="00754F36"/>
    <w:rsid w:val="00755770"/>
    <w:rsid w:val="007561E2"/>
    <w:rsid w:val="00756F69"/>
    <w:rsid w:val="0075731B"/>
    <w:rsid w:val="007573FF"/>
    <w:rsid w:val="00757A9E"/>
    <w:rsid w:val="007606BF"/>
    <w:rsid w:val="00762FCB"/>
    <w:rsid w:val="00763409"/>
    <w:rsid w:val="0076371C"/>
    <w:rsid w:val="00763E40"/>
    <w:rsid w:val="00764B64"/>
    <w:rsid w:val="00764CB9"/>
    <w:rsid w:val="00764F5F"/>
    <w:rsid w:val="00765368"/>
    <w:rsid w:val="00765485"/>
    <w:rsid w:val="007658AC"/>
    <w:rsid w:val="007665E7"/>
    <w:rsid w:val="00770513"/>
    <w:rsid w:val="00770841"/>
    <w:rsid w:val="00771200"/>
    <w:rsid w:val="00771255"/>
    <w:rsid w:val="0077130C"/>
    <w:rsid w:val="00772972"/>
    <w:rsid w:val="0077367C"/>
    <w:rsid w:val="00773D2A"/>
    <w:rsid w:val="0077422F"/>
    <w:rsid w:val="00774614"/>
    <w:rsid w:val="00774B89"/>
    <w:rsid w:val="00775087"/>
    <w:rsid w:val="00775135"/>
    <w:rsid w:val="0077553C"/>
    <w:rsid w:val="00775EDB"/>
    <w:rsid w:val="00776C11"/>
    <w:rsid w:val="0077732B"/>
    <w:rsid w:val="00777E87"/>
    <w:rsid w:val="00781127"/>
    <w:rsid w:val="007837FC"/>
    <w:rsid w:val="00783EB4"/>
    <w:rsid w:val="00783FB5"/>
    <w:rsid w:val="0078430C"/>
    <w:rsid w:val="00785521"/>
    <w:rsid w:val="007863EB"/>
    <w:rsid w:val="0078674F"/>
    <w:rsid w:val="007867DF"/>
    <w:rsid w:val="0078767D"/>
    <w:rsid w:val="00787706"/>
    <w:rsid w:val="00787A5D"/>
    <w:rsid w:val="0079066B"/>
    <w:rsid w:val="00790972"/>
    <w:rsid w:val="007914C9"/>
    <w:rsid w:val="007915CE"/>
    <w:rsid w:val="00792E0F"/>
    <w:rsid w:val="00793514"/>
    <w:rsid w:val="00793BE3"/>
    <w:rsid w:val="00793C32"/>
    <w:rsid w:val="00793CB9"/>
    <w:rsid w:val="0079520D"/>
    <w:rsid w:val="00797E9C"/>
    <w:rsid w:val="007A09FB"/>
    <w:rsid w:val="007A10F9"/>
    <w:rsid w:val="007A1FF5"/>
    <w:rsid w:val="007A2865"/>
    <w:rsid w:val="007A2C07"/>
    <w:rsid w:val="007A35FC"/>
    <w:rsid w:val="007A37F9"/>
    <w:rsid w:val="007A4600"/>
    <w:rsid w:val="007A519A"/>
    <w:rsid w:val="007A6A55"/>
    <w:rsid w:val="007A6A9A"/>
    <w:rsid w:val="007A6C54"/>
    <w:rsid w:val="007A73F8"/>
    <w:rsid w:val="007A7A0F"/>
    <w:rsid w:val="007B00E3"/>
    <w:rsid w:val="007B067C"/>
    <w:rsid w:val="007B09F6"/>
    <w:rsid w:val="007B18E8"/>
    <w:rsid w:val="007B2B1C"/>
    <w:rsid w:val="007B32BA"/>
    <w:rsid w:val="007B5C52"/>
    <w:rsid w:val="007B6F44"/>
    <w:rsid w:val="007B7C22"/>
    <w:rsid w:val="007C077C"/>
    <w:rsid w:val="007C1244"/>
    <w:rsid w:val="007C1435"/>
    <w:rsid w:val="007C1F4F"/>
    <w:rsid w:val="007C2D99"/>
    <w:rsid w:val="007C2F38"/>
    <w:rsid w:val="007C36DB"/>
    <w:rsid w:val="007C3CFB"/>
    <w:rsid w:val="007C51AD"/>
    <w:rsid w:val="007C61D8"/>
    <w:rsid w:val="007C64E6"/>
    <w:rsid w:val="007D0469"/>
    <w:rsid w:val="007D053A"/>
    <w:rsid w:val="007D1101"/>
    <w:rsid w:val="007D130D"/>
    <w:rsid w:val="007D1411"/>
    <w:rsid w:val="007D1AE1"/>
    <w:rsid w:val="007D256C"/>
    <w:rsid w:val="007D400F"/>
    <w:rsid w:val="007D4699"/>
    <w:rsid w:val="007D476B"/>
    <w:rsid w:val="007D49AB"/>
    <w:rsid w:val="007D5733"/>
    <w:rsid w:val="007D5F4E"/>
    <w:rsid w:val="007D6375"/>
    <w:rsid w:val="007D6497"/>
    <w:rsid w:val="007D6A31"/>
    <w:rsid w:val="007D6FBA"/>
    <w:rsid w:val="007D7320"/>
    <w:rsid w:val="007D7575"/>
    <w:rsid w:val="007E0905"/>
    <w:rsid w:val="007E14D0"/>
    <w:rsid w:val="007E18BF"/>
    <w:rsid w:val="007E2CA4"/>
    <w:rsid w:val="007E349A"/>
    <w:rsid w:val="007E3529"/>
    <w:rsid w:val="007E36B4"/>
    <w:rsid w:val="007E49A6"/>
    <w:rsid w:val="007E4D5B"/>
    <w:rsid w:val="007E4E2A"/>
    <w:rsid w:val="007E5CD6"/>
    <w:rsid w:val="007E6139"/>
    <w:rsid w:val="007E6A9E"/>
    <w:rsid w:val="007E6C89"/>
    <w:rsid w:val="007E7ED2"/>
    <w:rsid w:val="007E7FD7"/>
    <w:rsid w:val="007F0152"/>
    <w:rsid w:val="007F0D37"/>
    <w:rsid w:val="007F1690"/>
    <w:rsid w:val="007F1D62"/>
    <w:rsid w:val="007F2196"/>
    <w:rsid w:val="007F24EB"/>
    <w:rsid w:val="007F316D"/>
    <w:rsid w:val="007F3923"/>
    <w:rsid w:val="007F393D"/>
    <w:rsid w:val="007F3A20"/>
    <w:rsid w:val="007F49A2"/>
    <w:rsid w:val="007F4E77"/>
    <w:rsid w:val="007F5976"/>
    <w:rsid w:val="007F6AD3"/>
    <w:rsid w:val="007F6EE0"/>
    <w:rsid w:val="007F7D59"/>
    <w:rsid w:val="007F7E3F"/>
    <w:rsid w:val="00801E12"/>
    <w:rsid w:val="00802068"/>
    <w:rsid w:val="008024A5"/>
    <w:rsid w:val="0080254E"/>
    <w:rsid w:val="008038C3"/>
    <w:rsid w:val="00803E91"/>
    <w:rsid w:val="00804E57"/>
    <w:rsid w:val="008052F3"/>
    <w:rsid w:val="00805860"/>
    <w:rsid w:val="0080607F"/>
    <w:rsid w:val="0080673C"/>
    <w:rsid w:val="00806ED2"/>
    <w:rsid w:val="00810B95"/>
    <w:rsid w:val="00810C2C"/>
    <w:rsid w:val="008110D6"/>
    <w:rsid w:val="0081144E"/>
    <w:rsid w:val="008115AD"/>
    <w:rsid w:val="00811669"/>
    <w:rsid w:val="00811702"/>
    <w:rsid w:val="008118B9"/>
    <w:rsid w:val="00812311"/>
    <w:rsid w:val="008123D1"/>
    <w:rsid w:val="00812491"/>
    <w:rsid w:val="008126AB"/>
    <w:rsid w:val="00812C80"/>
    <w:rsid w:val="00813296"/>
    <w:rsid w:val="00813786"/>
    <w:rsid w:val="008146E4"/>
    <w:rsid w:val="00814AF3"/>
    <w:rsid w:val="00814E02"/>
    <w:rsid w:val="00815178"/>
    <w:rsid w:val="00815DF4"/>
    <w:rsid w:val="0081671D"/>
    <w:rsid w:val="00816908"/>
    <w:rsid w:val="00817409"/>
    <w:rsid w:val="0081762E"/>
    <w:rsid w:val="0081771A"/>
    <w:rsid w:val="00817A50"/>
    <w:rsid w:val="00820399"/>
    <w:rsid w:val="00821130"/>
    <w:rsid w:val="00821763"/>
    <w:rsid w:val="00822B50"/>
    <w:rsid w:val="00822C6B"/>
    <w:rsid w:val="008235CC"/>
    <w:rsid w:val="00823784"/>
    <w:rsid w:val="00824618"/>
    <w:rsid w:val="00824684"/>
    <w:rsid w:val="0082568A"/>
    <w:rsid w:val="00825FCE"/>
    <w:rsid w:val="00826398"/>
    <w:rsid w:val="00826990"/>
    <w:rsid w:val="00826CA1"/>
    <w:rsid w:val="00827FD4"/>
    <w:rsid w:val="008306E4"/>
    <w:rsid w:val="00830E41"/>
    <w:rsid w:val="00831469"/>
    <w:rsid w:val="00831911"/>
    <w:rsid w:val="00831C98"/>
    <w:rsid w:val="008333F7"/>
    <w:rsid w:val="008339D6"/>
    <w:rsid w:val="008354B8"/>
    <w:rsid w:val="008354D2"/>
    <w:rsid w:val="00837432"/>
    <w:rsid w:val="00837871"/>
    <w:rsid w:val="0084017B"/>
    <w:rsid w:val="00841ACD"/>
    <w:rsid w:val="008424B2"/>
    <w:rsid w:val="00842F4E"/>
    <w:rsid w:val="008430CB"/>
    <w:rsid w:val="00843F1A"/>
    <w:rsid w:val="00843F55"/>
    <w:rsid w:val="008442AA"/>
    <w:rsid w:val="008442B4"/>
    <w:rsid w:val="008448B4"/>
    <w:rsid w:val="00844F05"/>
    <w:rsid w:val="00845C74"/>
    <w:rsid w:val="0084720A"/>
    <w:rsid w:val="00847246"/>
    <w:rsid w:val="00847D7B"/>
    <w:rsid w:val="00850BB5"/>
    <w:rsid w:val="00851079"/>
    <w:rsid w:val="008516EA"/>
    <w:rsid w:val="00851D6B"/>
    <w:rsid w:val="008523B0"/>
    <w:rsid w:val="008526CC"/>
    <w:rsid w:val="00852A50"/>
    <w:rsid w:val="00852C4C"/>
    <w:rsid w:val="00853759"/>
    <w:rsid w:val="00854569"/>
    <w:rsid w:val="00854F9D"/>
    <w:rsid w:val="00856859"/>
    <w:rsid w:val="008608FE"/>
    <w:rsid w:val="00861A9C"/>
    <w:rsid w:val="00862292"/>
    <w:rsid w:val="0086282E"/>
    <w:rsid w:val="0086364C"/>
    <w:rsid w:val="00863BC2"/>
    <w:rsid w:val="0086417B"/>
    <w:rsid w:val="00864B31"/>
    <w:rsid w:val="00866391"/>
    <w:rsid w:val="0086688C"/>
    <w:rsid w:val="00870080"/>
    <w:rsid w:val="0087067B"/>
    <w:rsid w:val="00871BF7"/>
    <w:rsid w:val="00871E03"/>
    <w:rsid w:val="008722B1"/>
    <w:rsid w:val="008725E6"/>
    <w:rsid w:val="0087279D"/>
    <w:rsid w:val="008730C3"/>
    <w:rsid w:val="00873757"/>
    <w:rsid w:val="00873C01"/>
    <w:rsid w:val="00873C87"/>
    <w:rsid w:val="00873EA3"/>
    <w:rsid w:val="00875128"/>
    <w:rsid w:val="008766F4"/>
    <w:rsid w:val="00876D07"/>
    <w:rsid w:val="008774BC"/>
    <w:rsid w:val="00877C85"/>
    <w:rsid w:val="00880302"/>
    <w:rsid w:val="0088104F"/>
    <w:rsid w:val="008821F3"/>
    <w:rsid w:val="008829FD"/>
    <w:rsid w:val="00882B67"/>
    <w:rsid w:val="0088327F"/>
    <w:rsid w:val="0088360B"/>
    <w:rsid w:val="00883684"/>
    <w:rsid w:val="008836AD"/>
    <w:rsid w:val="0088398C"/>
    <w:rsid w:val="008839E7"/>
    <w:rsid w:val="00883AF1"/>
    <w:rsid w:val="00883B1D"/>
    <w:rsid w:val="00884357"/>
    <w:rsid w:val="008849F5"/>
    <w:rsid w:val="00885284"/>
    <w:rsid w:val="008862BE"/>
    <w:rsid w:val="00886AAC"/>
    <w:rsid w:val="008873C9"/>
    <w:rsid w:val="008877D6"/>
    <w:rsid w:val="00887D1D"/>
    <w:rsid w:val="00890153"/>
    <w:rsid w:val="00890734"/>
    <w:rsid w:val="00890B5F"/>
    <w:rsid w:val="0089128D"/>
    <w:rsid w:val="00891C07"/>
    <w:rsid w:val="00894949"/>
    <w:rsid w:val="008949E0"/>
    <w:rsid w:val="00894C90"/>
    <w:rsid w:val="00896070"/>
    <w:rsid w:val="008978D2"/>
    <w:rsid w:val="008A1297"/>
    <w:rsid w:val="008A19AB"/>
    <w:rsid w:val="008A1F4F"/>
    <w:rsid w:val="008A2A9E"/>
    <w:rsid w:val="008A320E"/>
    <w:rsid w:val="008A37DA"/>
    <w:rsid w:val="008A44F2"/>
    <w:rsid w:val="008A5354"/>
    <w:rsid w:val="008A5472"/>
    <w:rsid w:val="008A55F8"/>
    <w:rsid w:val="008A5683"/>
    <w:rsid w:val="008A5829"/>
    <w:rsid w:val="008A633C"/>
    <w:rsid w:val="008A650A"/>
    <w:rsid w:val="008A6AA9"/>
    <w:rsid w:val="008A7791"/>
    <w:rsid w:val="008A7B43"/>
    <w:rsid w:val="008B0109"/>
    <w:rsid w:val="008B04F9"/>
    <w:rsid w:val="008B091F"/>
    <w:rsid w:val="008B1538"/>
    <w:rsid w:val="008B1E9F"/>
    <w:rsid w:val="008B2442"/>
    <w:rsid w:val="008B2490"/>
    <w:rsid w:val="008B249C"/>
    <w:rsid w:val="008B3524"/>
    <w:rsid w:val="008B3B3B"/>
    <w:rsid w:val="008B43F8"/>
    <w:rsid w:val="008B4EB8"/>
    <w:rsid w:val="008B5000"/>
    <w:rsid w:val="008B58C1"/>
    <w:rsid w:val="008B6A16"/>
    <w:rsid w:val="008B6F40"/>
    <w:rsid w:val="008C117C"/>
    <w:rsid w:val="008C11D7"/>
    <w:rsid w:val="008C14AF"/>
    <w:rsid w:val="008C1786"/>
    <w:rsid w:val="008C17D8"/>
    <w:rsid w:val="008C1986"/>
    <w:rsid w:val="008C20F7"/>
    <w:rsid w:val="008C317C"/>
    <w:rsid w:val="008C39F1"/>
    <w:rsid w:val="008C3C36"/>
    <w:rsid w:val="008C3D7E"/>
    <w:rsid w:val="008C3E99"/>
    <w:rsid w:val="008C3FDE"/>
    <w:rsid w:val="008C4283"/>
    <w:rsid w:val="008C4346"/>
    <w:rsid w:val="008C4818"/>
    <w:rsid w:val="008C49BA"/>
    <w:rsid w:val="008C50D0"/>
    <w:rsid w:val="008C5B5A"/>
    <w:rsid w:val="008C5CB9"/>
    <w:rsid w:val="008C62D7"/>
    <w:rsid w:val="008D095A"/>
    <w:rsid w:val="008D0EB4"/>
    <w:rsid w:val="008D1103"/>
    <w:rsid w:val="008D1F24"/>
    <w:rsid w:val="008D204B"/>
    <w:rsid w:val="008D25A7"/>
    <w:rsid w:val="008D2C91"/>
    <w:rsid w:val="008D3506"/>
    <w:rsid w:val="008D36AF"/>
    <w:rsid w:val="008D4E7C"/>
    <w:rsid w:val="008D4FCC"/>
    <w:rsid w:val="008D53A6"/>
    <w:rsid w:val="008D5E5A"/>
    <w:rsid w:val="008D7F6C"/>
    <w:rsid w:val="008E23AD"/>
    <w:rsid w:val="008E2466"/>
    <w:rsid w:val="008E2942"/>
    <w:rsid w:val="008E3308"/>
    <w:rsid w:val="008E37F9"/>
    <w:rsid w:val="008E3E31"/>
    <w:rsid w:val="008E4D3E"/>
    <w:rsid w:val="008E4EB0"/>
    <w:rsid w:val="008E51A6"/>
    <w:rsid w:val="008E55C5"/>
    <w:rsid w:val="008E5C54"/>
    <w:rsid w:val="008E6AFC"/>
    <w:rsid w:val="008E7F72"/>
    <w:rsid w:val="008F0046"/>
    <w:rsid w:val="008F0379"/>
    <w:rsid w:val="008F08AB"/>
    <w:rsid w:val="008F1EFF"/>
    <w:rsid w:val="008F2E0D"/>
    <w:rsid w:val="008F34AB"/>
    <w:rsid w:val="008F376D"/>
    <w:rsid w:val="008F3A78"/>
    <w:rsid w:val="008F44E2"/>
    <w:rsid w:val="008F4E60"/>
    <w:rsid w:val="008F5AB8"/>
    <w:rsid w:val="008F5D2B"/>
    <w:rsid w:val="008F5DB0"/>
    <w:rsid w:val="008F695D"/>
    <w:rsid w:val="008F6F28"/>
    <w:rsid w:val="008F7043"/>
    <w:rsid w:val="008F7931"/>
    <w:rsid w:val="008F7AF2"/>
    <w:rsid w:val="0090060E"/>
    <w:rsid w:val="00901271"/>
    <w:rsid w:val="009016D0"/>
    <w:rsid w:val="00901EE1"/>
    <w:rsid w:val="00902CB8"/>
    <w:rsid w:val="00902EA3"/>
    <w:rsid w:val="00903C64"/>
    <w:rsid w:val="00904D37"/>
    <w:rsid w:val="00904E2A"/>
    <w:rsid w:val="009057F3"/>
    <w:rsid w:val="009058E1"/>
    <w:rsid w:val="00906D3F"/>
    <w:rsid w:val="00910DAB"/>
    <w:rsid w:val="00910E40"/>
    <w:rsid w:val="00910F5F"/>
    <w:rsid w:val="00911360"/>
    <w:rsid w:val="009119B4"/>
    <w:rsid w:val="009120C9"/>
    <w:rsid w:val="009120E3"/>
    <w:rsid w:val="009126C3"/>
    <w:rsid w:val="0091284C"/>
    <w:rsid w:val="00913F7A"/>
    <w:rsid w:val="009140E7"/>
    <w:rsid w:val="00914794"/>
    <w:rsid w:val="009149B3"/>
    <w:rsid w:val="00914FE7"/>
    <w:rsid w:val="009150F5"/>
    <w:rsid w:val="00915CE1"/>
    <w:rsid w:val="00916528"/>
    <w:rsid w:val="0091720D"/>
    <w:rsid w:val="009173C6"/>
    <w:rsid w:val="009174E5"/>
    <w:rsid w:val="00917F85"/>
    <w:rsid w:val="00920164"/>
    <w:rsid w:val="009205A8"/>
    <w:rsid w:val="009208F6"/>
    <w:rsid w:val="009209BC"/>
    <w:rsid w:val="00920C37"/>
    <w:rsid w:val="00920CE5"/>
    <w:rsid w:val="00921659"/>
    <w:rsid w:val="00921BA6"/>
    <w:rsid w:val="00922A19"/>
    <w:rsid w:val="00922DAF"/>
    <w:rsid w:val="00922F88"/>
    <w:rsid w:val="00924383"/>
    <w:rsid w:val="009255E5"/>
    <w:rsid w:val="00926089"/>
    <w:rsid w:val="00927AC6"/>
    <w:rsid w:val="00927E7D"/>
    <w:rsid w:val="0093062A"/>
    <w:rsid w:val="00930ACD"/>
    <w:rsid w:val="00930B8A"/>
    <w:rsid w:val="00930E31"/>
    <w:rsid w:val="00932DF5"/>
    <w:rsid w:val="00932FF0"/>
    <w:rsid w:val="00933479"/>
    <w:rsid w:val="00933A30"/>
    <w:rsid w:val="0093468B"/>
    <w:rsid w:val="00934BA4"/>
    <w:rsid w:val="00934CE8"/>
    <w:rsid w:val="0093532C"/>
    <w:rsid w:val="009353D1"/>
    <w:rsid w:val="00935621"/>
    <w:rsid w:val="00935CF2"/>
    <w:rsid w:val="00935DF0"/>
    <w:rsid w:val="009367E9"/>
    <w:rsid w:val="00936827"/>
    <w:rsid w:val="00936F1B"/>
    <w:rsid w:val="00937009"/>
    <w:rsid w:val="0093718A"/>
    <w:rsid w:val="00937504"/>
    <w:rsid w:val="009375F1"/>
    <w:rsid w:val="009377FF"/>
    <w:rsid w:val="00937F8A"/>
    <w:rsid w:val="00940724"/>
    <w:rsid w:val="00941A45"/>
    <w:rsid w:val="00941A55"/>
    <w:rsid w:val="00942589"/>
    <w:rsid w:val="009427A2"/>
    <w:rsid w:val="0094368E"/>
    <w:rsid w:val="00943E3D"/>
    <w:rsid w:val="009444BC"/>
    <w:rsid w:val="00944CD9"/>
    <w:rsid w:val="00944D9C"/>
    <w:rsid w:val="00944E55"/>
    <w:rsid w:val="00944EF5"/>
    <w:rsid w:val="009455B0"/>
    <w:rsid w:val="009457F7"/>
    <w:rsid w:val="00945D49"/>
    <w:rsid w:val="009464FD"/>
    <w:rsid w:val="009465FA"/>
    <w:rsid w:val="0094662F"/>
    <w:rsid w:val="00946984"/>
    <w:rsid w:val="00946E89"/>
    <w:rsid w:val="00946FAA"/>
    <w:rsid w:val="00947E5B"/>
    <w:rsid w:val="00950048"/>
    <w:rsid w:val="00951770"/>
    <w:rsid w:val="0095267B"/>
    <w:rsid w:val="0095276D"/>
    <w:rsid w:val="009528F1"/>
    <w:rsid w:val="0095297F"/>
    <w:rsid w:val="009558C0"/>
    <w:rsid w:val="0095600A"/>
    <w:rsid w:val="00956455"/>
    <w:rsid w:val="009569BE"/>
    <w:rsid w:val="009579F5"/>
    <w:rsid w:val="00957F59"/>
    <w:rsid w:val="00960808"/>
    <w:rsid w:val="00960C5E"/>
    <w:rsid w:val="00960CC3"/>
    <w:rsid w:val="00962220"/>
    <w:rsid w:val="009623D8"/>
    <w:rsid w:val="00962AA1"/>
    <w:rsid w:val="009634AA"/>
    <w:rsid w:val="00965F30"/>
    <w:rsid w:val="00966C05"/>
    <w:rsid w:val="009674BF"/>
    <w:rsid w:val="009700B3"/>
    <w:rsid w:val="00970611"/>
    <w:rsid w:val="00970E97"/>
    <w:rsid w:val="00971D44"/>
    <w:rsid w:val="00971E35"/>
    <w:rsid w:val="00971EDA"/>
    <w:rsid w:val="009720A5"/>
    <w:rsid w:val="009728FA"/>
    <w:rsid w:val="00972CF1"/>
    <w:rsid w:val="00972F6E"/>
    <w:rsid w:val="00973607"/>
    <w:rsid w:val="009739F9"/>
    <w:rsid w:val="00973B67"/>
    <w:rsid w:val="00974469"/>
    <w:rsid w:val="009747F1"/>
    <w:rsid w:val="00974A9C"/>
    <w:rsid w:val="00974DC5"/>
    <w:rsid w:val="0097545E"/>
    <w:rsid w:val="00975EE2"/>
    <w:rsid w:val="009762FB"/>
    <w:rsid w:val="00976CB6"/>
    <w:rsid w:val="0097701D"/>
    <w:rsid w:val="009778F8"/>
    <w:rsid w:val="00977A5A"/>
    <w:rsid w:val="00981163"/>
    <w:rsid w:val="0098139A"/>
    <w:rsid w:val="0098147B"/>
    <w:rsid w:val="0098220A"/>
    <w:rsid w:val="0098331D"/>
    <w:rsid w:val="009841EA"/>
    <w:rsid w:val="00984837"/>
    <w:rsid w:val="00984E70"/>
    <w:rsid w:val="0098509B"/>
    <w:rsid w:val="0098624C"/>
    <w:rsid w:val="0098716D"/>
    <w:rsid w:val="009872AF"/>
    <w:rsid w:val="00987AA0"/>
    <w:rsid w:val="00987C16"/>
    <w:rsid w:val="0099045E"/>
    <w:rsid w:val="009923AF"/>
    <w:rsid w:val="0099298D"/>
    <w:rsid w:val="0099336E"/>
    <w:rsid w:val="009945EB"/>
    <w:rsid w:val="0099466B"/>
    <w:rsid w:val="00995155"/>
    <w:rsid w:val="009961EC"/>
    <w:rsid w:val="00996563"/>
    <w:rsid w:val="00996649"/>
    <w:rsid w:val="00996CD1"/>
    <w:rsid w:val="00996E22"/>
    <w:rsid w:val="009A0B56"/>
    <w:rsid w:val="009A2190"/>
    <w:rsid w:val="009A22BB"/>
    <w:rsid w:val="009A2ADD"/>
    <w:rsid w:val="009A31C1"/>
    <w:rsid w:val="009A38B8"/>
    <w:rsid w:val="009A443A"/>
    <w:rsid w:val="009A49C3"/>
    <w:rsid w:val="009A5C72"/>
    <w:rsid w:val="009A74F8"/>
    <w:rsid w:val="009B3568"/>
    <w:rsid w:val="009B3CCD"/>
    <w:rsid w:val="009B4049"/>
    <w:rsid w:val="009B4366"/>
    <w:rsid w:val="009B4F00"/>
    <w:rsid w:val="009B50E3"/>
    <w:rsid w:val="009C021F"/>
    <w:rsid w:val="009C0BCD"/>
    <w:rsid w:val="009C1212"/>
    <w:rsid w:val="009C14A7"/>
    <w:rsid w:val="009C1624"/>
    <w:rsid w:val="009C18E6"/>
    <w:rsid w:val="009C1BB0"/>
    <w:rsid w:val="009C213B"/>
    <w:rsid w:val="009C2709"/>
    <w:rsid w:val="009C340B"/>
    <w:rsid w:val="009C342F"/>
    <w:rsid w:val="009C3A16"/>
    <w:rsid w:val="009C4B5A"/>
    <w:rsid w:val="009C5B85"/>
    <w:rsid w:val="009C648D"/>
    <w:rsid w:val="009C68C8"/>
    <w:rsid w:val="009C7236"/>
    <w:rsid w:val="009C7668"/>
    <w:rsid w:val="009D0862"/>
    <w:rsid w:val="009D0917"/>
    <w:rsid w:val="009D0BB0"/>
    <w:rsid w:val="009D1204"/>
    <w:rsid w:val="009D1913"/>
    <w:rsid w:val="009D1EB9"/>
    <w:rsid w:val="009D1F50"/>
    <w:rsid w:val="009D1FE5"/>
    <w:rsid w:val="009D245C"/>
    <w:rsid w:val="009D2881"/>
    <w:rsid w:val="009D3525"/>
    <w:rsid w:val="009D3717"/>
    <w:rsid w:val="009D4194"/>
    <w:rsid w:val="009D4490"/>
    <w:rsid w:val="009D45A9"/>
    <w:rsid w:val="009D4849"/>
    <w:rsid w:val="009D4985"/>
    <w:rsid w:val="009D6515"/>
    <w:rsid w:val="009D651E"/>
    <w:rsid w:val="009D6B87"/>
    <w:rsid w:val="009D7183"/>
    <w:rsid w:val="009D7A11"/>
    <w:rsid w:val="009D7F24"/>
    <w:rsid w:val="009D7F34"/>
    <w:rsid w:val="009E0258"/>
    <w:rsid w:val="009E0516"/>
    <w:rsid w:val="009E06A3"/>
    <w:rsid w:val="009E0798"/>
    <w:rsid w:val="009E1545"/>
    <w:rsid w:val="009E2819"/>
    <w:rsid w:val="009E2A13"/>
    <w:rsid w:val="009E2AE7"/>
    <w:rsid w:val="009E30A1"/>
    <w:rsid w:val="009E3F4C"/>
    <w:rsid w:val="009E4456"/>
    <w:rsid w:val="009E45FE"/>
    <w:rsid w:val="009E4998"/>
    <w:rsid w:val="009E4A6F"/>
    <w:rsid w:val="009E51FA"/>
    <w:rsid w:val="009E579E"/>
    <w:rsid w:val="009E580B"/>
    <w:rsid w:val="009E63C4"/>
    <w:rsid w:val="009E6829"/>
    <w:rsid w:val="009E6C74"/>
    <w:rsid w:val="009E726D"/>
    <w:rsid w:val="009E7608"/>
    <w:rsid w:val="009E76A9"/>
    <w:rsid w:val="009E7B4D"/>
    <w:rsid w:val="009F078C"/>
    <w:rsid w:val="009F0BCD"/>
    <w:rsid w:val="009F260B"/>
    <w:rsid w:val="009F313E"/>
    <w:rsid w:val="009F3437"/>
    <w:rsid w:val="009F36CE"/>
    <w:rsid w:val="009F4565"/>
    <w:rsid w:val="009F5261"/>
    <w:rsid w:val="009F543C"/>
    <w:rsid w:val="009F554F"/>
    <w:rsid w:val="009F5865"/>
    <w:rsid w:val="009F5A69"/>
    <w:rsid w:val="009F6CB7"/>
    <w:rsid w:val="009F6E63"/>
    <w:rsid w:val="009F7742"/>
    <w:rsid w:val="009F789E"/>
    <w:rsid w:val="009F791D"/>
    <w:rsid w:val="009F798E"/>
    <w:rsid w:val="00A003F2"/>
    <w:rsid w:val="00A0049B"/>
    <w:rsid w:val="00A004B1"/>
    <w:rsid w:val="00A00572"/>
    <w:rsid w:val="00A00BCB"/>
    <w:rsid w:val="00A0135C"/>
    <w:rsid w:val="00A01547"/>
    <w:rsid w:val="00A01D0D"/>
    <w:rsid w:val="00A01E4F"/>
    <w:rsid w:val="00A02468"/>
    <w:rsid w:val="00A03914"/>
    <w:rsid w:val="00A03CE3"/>
    <w:rsid w:val="00A03D54"/>
    <w:rsid w:val="00A03E7D"/>
    <w:rsid w:val="00A04BB3"/>
    <w:rsid w:val="00A04CC5"/>
    <w:rsid w:val="00A05A97"/>
    <w:rsid w:val="00A05E37"/>
    <w:rsid w:val="00A06621"/>
    <w:rsid w:val="00A076E9"/>
    <w:rsid w:val="00A0772D"/>
    <w:rsid w:val="00A10A39"/>
    <w:rsid w:val="00A10CAD"/>
    <w:rsid w:val="00A10DDF"/>
    <w:rsid w:val="00A10EE5"/>
    <w:rsid w:val="00A11EF1"/>
    <w:rsid w:val="00A11F58"/>
    <w:rsid w:val="00A125E8"/>
    <w:rsid w:val="00A12D1F"/>
    <w:rsid w:val="00A13087"/>
    <w:rsid w:val="00A13D19"/>
    <w:rsid w:val="00A1593E"/>
    <w:rsid w:val="00A1618F"/>
    <w:rsid w:val="00A1643A"/>
    <w:rsid w:val="00A16ED9"/>
    <w:rsid w:val="00A16FFA"/>
    <w:rsid w:val="00A17CDF"/>
    <w:rsid w:val="00A205D3"/>
    <w:rsid w:val="00A216C1"/>
    <w:rsid w:val="00A21C12"/>
    <w:rsid w:val="00A2214E"/>
    <w:rsid w:val="00A22228"/>
    <w:rsid w:val="00A230CB"/>
    <w:rsid w:val="00A2419F"/>
    <w:rsid w:val="00A24F46"/>
    <w:rsid w:val="00A25E91"/>
    <w:rsid w:val="00A26BB4"/>
    <w:rsid w:val="00A26C5B"/>
    <w:rsid w:val="00A306C3"/>
    <w:rsid w:val="00A30AC2"/>
    <w:rsid w:val="00A331EC"/>
    <w:rsid w:val="00A333A7"/>
    <w:rsid w:val="00A33E12"/>
    <w:rsid w:val="00A34157"/>
    <w:rsid w:val="00A3454C"/>
    <w:rsid w:val="00A34C5B"/>
    <w:rsid w:val="00A35612"/>
    <w:rsid w:val="00A359CC"/>
    <w:rsid w:val="00A3607B"/>
    <w:rsid w:val="00A366B2"/>
    <w:rsid w:val="00A36939"/>
    <w:rsid w:val="00A3725A"/>
    <w:rsid w:val="00A37DA0"/>
    <w:rsid w:val="00A37EEA"/>
    <w:rsid w:val="00A4048F"/>
    <w:rsid w:val="00A40B6F"/>
    <w:rsid w:val="00A42C5F"/>
    <w:rsid w:val="00A46AC5"/>
    <w:rsid w:val="00A4711B"/>
    <w:rsid w:val="00A47444"/>
    <w:rsid w:val="00A50252"/>
    <w:rsid w:val="00A50308"/>
    <w:rsid w:val="00A52D90"/>
    <w:rsid w:val="00A537DC"/>
    <w:rsid w:val="00A53E4C"/>
    <w:rsid w:val="00A53F17"/>
    <w:rsid w:val="00A54236"/>
    <w:rsid w:val="00A54331"/>
    <w:rsid w:val="00A54D03"/>
    <w:rsid w:val="00A551C8"/>
    <w:rsid w:val="00A5522A"/>
    <w:rsid w:val="00A552E5"/>
    <w:rsid w:val="00A56BB6"/>
    <w:rsid w:val="00A57349"/>
    <w:rsid w:val="00A60ACE"/>
    <w:rsid w:val="00A60F9A"/>
    <w:rsid w:val="00A6119F"/>
    <w:rsid w:val="00A61BC1"/>
    <w:rsid w:val="00A61C47"/>
    <w:rsid w:val="00A62B40"/>
    <w:rsid w:val="00A63969"/>
    <w:rsid w:val="00A654D6"/>
    <w:rsid w:val="00A655B3"/>
    <w:rsid w:val="00A65ADA"/>
    <w:rsid w:val="00A65B0A"/>
    <w:rsid w:val="00A660CA"/>
    <w:rsid w:val="00A6675A"/>
    <w:rsid w:val="00A66C97"/>
    <w:rsid w:val="00A67116"/>
    <w:rsid w:val="00A679B5"/>
    <w:rsid w:val="00A67EF8"/>
    <w:rsid w:val="00A700DE"/>
    <w:rsid w:val="00A71898"/>
    <w:rsid w:val="00A71C33"/>
    <w:rsid w:val="00A720A7"/>
    <w:rsid w:val="00A72701"/>
    <w:rsid w:val="00A7315D"/>
    <w:rsid w:val="00A731F2"/>
    <w:rsid w:val="00A7408C"/>
    <w:rsid w:val="00A758BA"/>
    <w:rsid w:val="00A75C42"/>
    <w:rsid w:val="00A76FE3"/>
    <w:rsid w:val="00A77CFC"/>
    <w:rsid w:val="00A801CC"/>
    <w:rsid w:val="00A807D4"/>
    <w:rsid w:val="00A8087A"/>
    <w:rsid w:val="00A808EC"/>
    <w:rsid w:val="00A81C2A"/>
    <w:rsid w:val="00A825F5"/>
    <w:rsid w:val="00A82B7E"/>
    <w:rsid w:val="00A82CB3"/>
    <w:rsid w:val="00A83798"/>
    <w:rsid w:val="00A83D03"/>
    <w:rsid w:val="00A83EF3"/>
    <w:rsid w:val="00A843BA"/>
    <w:rsid w:val="00A846DF"/>
    <w:rsid w:val="00A85272"/>
    <w:rsid w:val="00A85558"/>
    <w:rsid w:val="00A866F8"/>
    <w:rsid w:val="00A86C00"/>
    <w:rsid w:val="00A871D9"/>
    <w:rsid w:val="00A87495"/>
    <w:rsid w:val="00A90456"/>
    <w:rsid w:val="00A90F7B"/>
    <w:rsid w:val="00A91051"/>
    <w:rsid w:val="00A91D25"/>
    <w:rsid w:val="00A93149"/>
    <w:rsid w:val="00A934A6"/>
    <w:rsid w:val="00A94755"/>
    <w:rsid w:val="00A9747B"/>
    <w:rsid w:val="00AA0071"/>
    <w:rsid w:val="00AA015D"/>
    <w:rsid w:val="00AA0632"/>
    <w:rsid w:val="00AA07AD"/>
    <w:rsid w:val="00AA086B"/>
    <w:rsid w:val="00AA0945"/>
    <w:rsid w:val="00AA0FA2"/>
    <w:rsid w:val="00AA1773"/>
    <w:rsid w:val="00AA1981"/>
    <w:rsid w:val="00AA19EF"/>
    <w:rsid w:val="00AA2913"/>
    <w:rsid w:val="00AA4335"/>
    <w:rsid w:val="00AA4965"/>
    <w:rsid w:val="00AA62E5"/>
    <w:rsid w:val="00AA64F0"/>
    <w:rsid w:val="00AA7330"/>
    <w:rsid w:val="00AA73CD"/>
    <w:rsid w:val="00AB0437"/>
    <w:rsid w:val="00AB0A7D"/>
    <w:rsid w:val="00AB1411"/>
    <w:rsid w:val="00AB2331"/>
    <w:rsid w:val="00AB26DB"/>
    <w:rsid w:val="00AB307A"/>
    <w:rsid w:val="00AB31E9"/>
    <w:rsid w:val="00AB350A"/>
    <w:rsid w:val="00AB35C9"/>
    <w:rsid w:val="00AB4013"/>
    <w:rsid w:val="00AB4F90"/>
    <w:rsid w:val="00AB524C"/>
    <w:rsid w:val="00AB5384"/>
    <w:rsid w:val="00AB5D8A"/>
    <w:rsid w:val="00AB68C1"/>
    <w:rsid w:val="00AB6F34"/>
    <w:rsid w:val="00AB7485"/>
    <w:rsid w:val="00AB7CEB"/>
    <w:rsid w:val="00AC0029"/>
    <w:rsid w:val="00AC005C"/>
    <w:rsid w:val="00AC02D8"/>
    <w:rsid w:val="00AC03BA"/>
    <w:rsid w:val="00AC073E"/>
    <w:rsid w:val="00AC0922"/>
    <w:rsid w:val="00AC1007"/>
    <w:rsid w:val="00AC14BA"/>
    <w:rsid w:val="00AC155B"/>
    <w:rsid w:val="00AC17B6"/>
    <w:rsid w:val="00AC1809"/>
    <w:rsid w:val="00AC1D34"/>
    <w:rsid w:val="00AC24C7"/>
    <w:rsid w:val="00AC38DA"/>
    <w:rsid w:val="00AC42C3"/>
    <w:rsid w:val="00AC47F3"/>
    <w:rsid w:val="00AC4AC8"/>
    <w:rsid w:val="00AC53A8"/>
    <w:rsid w:val="00AC5405"/>
    <w:rsid w:val="00AC5616"/>
    <w:rsid w:val="00AC5DA7"/>
    <w:rsid w:val="00AC600B"/>
    <w:rsid w:val="00AC6E68"/>
    <w:rsid w:val="00AC6EA0"/>
    <w:rsid w:val="00AC7A66"/>
    <w:rsid w:val="00AD005A"/>
    <w:rsid w:val="00AD0173"/>
    <w:rsid w:val="00AD01F5"/>
    <w:rsid w:val="00AD020F"/>
    <w:rsid w:val="00AD0644"/>
    <w:rsid w:val="00AD1077"/>
    <w:rsid w:val="00AD247E"/>
    <w:rsid w:val="00AD39EF"/>
    <w:rsid w:val="00AD3A10"/>
    <w:rsid w:val="00AD436F"/>
    <w:rsid w:val="00AD44A2"/>
    <w:rsid w:val="00AD4C16"/>
    <w:rsid w:val="00AD4D1B"/>
    <w:rsid w:val="00AD5B83"/>
    <w:rsid w:val="00AD5BF3"/>
    <w:rsid w:val="00AD5FF6"/>
    <w:rsid w:val="00AD6F27"/>
    <w:rsid w:val="00AD74F5"/>
    <w:rsid w:val="00AD7D36"/>
    <w:rsid w:val="00AE02EC"/>
    <w:rsid w:val="00AE0424"/>
    <w:rsid w:val="00AE05D8"/>
    <w:rsid w:val="00AE06A3"/>
    <w:rsid w:val="00AE0EFA"/>
    <w:rsid w:val="00AE1116"/>
    <w:rsid w:val="00AE11DD"/>
    <w:rsid w:val="00AE1BBF"/>
    <w:rsid w:val="00AE2C69"/>
    <w:rsid w:val="00AE2EB8"/>
    <w:rsid w:val="00AE31DD"/>
    <w:rsid w:val="00AE427B"/>
    <w:rsid w:val="00AE45E3"/>
    <w:rsid w:val="00AE4CAD"/>
    <w:rsid w:val="00AE7BCC"/>
    <w:rsid w:val="00AE7C2D"/>
    <w:rsid w:val="00AF0AEE"/>
    <w:rsid w:val="00AF206F"/>
    <w:rsid w:val="00AF3D1C"/>
    <w:rsid w:val="00AF4B13"/>
    <w:rsid w:val="00AF5999"/>
    <w:rsid w:val="00AF718B"/>
    <w:rsid w:val="00AF7802"/>
    <w:rsid w:val="00AF7D60"/>
    <w:rsid w:val="00B00E9A"/>
    <w:rsid w:val="00B01596"/>
    <w:rsid w:val="00B02E7E"/>
    <w:rsid w:val="00B03242"/>
    <w:rsid w:val="00B0336C"/>
    <w:rsid w:val="00B04B75"/>
    <w:rsid w:val="00B04EC6"/>
    <w:rsid w:val="00B05242"/>
    <w:rsid w:val="00B0548E"/>
    <w:rsid w:val="00B0587B"/>
    <w:rsid w:val="00B05CAB"/>
    <w:rsid w:val="00B06276"/>
    <w:rsid w:val="00B0634B"/>
    <w:rsid w:val="00B06CD9"/>
    <w:rsid w:val="00B07033"/>
    <w:rsid w:val="00B070A7"/>
    <w:rsid w:val="00B072A2"/>
    <w:rsid w:val="00B0762B"/>
    <w:rsid w:val="00B07EA9"/>
    <w:rsid w:val="00B101F8"/>
    <w:rsid w:val="00B10523"/>
    <w:rsid w:val="00B11157"/>
    <w:rsid w:val="00B114C0"/>
    <w:rsid w:val="00B11987"/>
    <w:rsid w:val="00B11B35"/>
    <w:rsid w:val="00B11E33"/>
    <w:rsid w:val="00B13802"/>
    <w:rsid w:val="00B13C54"/>
    <w:rsid w:val="00B1430D"/>
    <w:rsid w:val="00B14502"/>
    <w:rsid w:val="00B14DCC"/>
    <w:rsid w:val="00B14E7D"/>
    <w:rsid w:val="00B14F3A"/>
    <w:rsid w:val="00B14FDF"/>
    <w:rsid w:val="00B15777"/>
    <w:rsid w:val="00B15DF6"/>
    <w:rsid w:val="00B16A5B"/>
    <w:rsid w:val="00B17A94"/>
    <w:rsid w:val="00B17E64"/>
    <w:rsid w:val="00B17F19"/>
    <w:rsid w:val="00B20A61"/>
    <w:rsid w:val="00B20B6F"/>
    <w:rsid w:val="00B20C9F"/>
    <w:rsid w:val="00B21E3E"/>
    <w:rsid w:val="00B221EF"/>
    <w:rsid w:val="00B22249"/>
    <w:rsid w:val="00B24719"/>
    <w:rsid w:val="00B25A09"/>
    <w:rsid w:val="00B25BE5"/>
    <w:rsid w:val="00B25FAC"/>
    <w:rsid w:val="00B2616D"/>
    <w:rsid w:val="00B2726C"/>
    <w:rsid w:val="00B27433"/>
    <w:rsid w:val="00B27955"/>
    <w:rsid w:val="00B30AB7"/>
    <w:rsid w:val="00B30FC4"/>
    <w:rsid w:val="00B310C1"/>
    <w:rsid w:val="00B3120F"/>
    <w:rsid w:val="00B32418"/>
    <w:rsid w:val="00B324B1"/>
    <w:rsid w:val="00B32797"/>
    <w:rsid w:val="00B33074"/>
    <w:rsid w:val="00B34385"/>
    <w:rsid w:val="00B3506E"/>
    <w:rsid w:val="00B35908"/>
    <w:rsid w:val="00B362F1"/>
    <w:rsid w:val="00B3685A"/>
    <w:rsid w:val="00B36981"/>
    <w:rsid w:val="00B377A2"/>
    <w:rsid w:val="00B37B36"/>
    <w:rsid w:val="00B37B60"/>
    <w:rsid w:val="00B37BAD"/>
    <w:rsid w:val="00B37DA3"/>
    <w:rsid w:val="00B401DE"/>
    <w:rsid w:val="00B4030E"/>
    <w:rsid w:val="00B40643"/>
    <w:rsid w:val="00B409C1"/>
    <w:rsid w:val="00B41A2B"/>
    <w:rsid w:val="00B4244B"/>
    <w:rsid w:val="00B4280D"/>
    <w:rsid w:val="00B42DB3"/>
    <w:rsid w:val="00B434E8"/>
    <w:rsid w:val="00B43A71"/>
    <w:rsid w:val="00B441F6"/>
    <w:rsid w:val="00B451D3"/>
    <w:rsid w:val="00B45E17"/>
    <w:rsid w:val="00B45F32"/>
    <w:rsid w:val="00B462C5"/>
    <w:rsid w:val="00B46392"/>
    <w:rsid w:val="00B46419"/>
    <w:rsid w:val="00B464A9"/>
    <w:rsid w:val="00B46D7F"/>
    <w:rsid w:val="00B50779"/>
    <w:rsid w:val="00B50B91"/>
    <w:rsid w:val="00B511B1"/>
    <w:rsid w:val="00B51920"/>
    <w:rsid w:val="00B51D35"/>
    <w:rsid w:val="00B5217E"/>
    <w:rsid w:val="00B52356"/>
    <w:rsid w:val="00B5254A"/>
    <w:rsid w:val="00B52C19"/>
    <w:rsid w:val="00B5335E"/>
    <w:rsid w:val="00B53B19"/>
    <w:rsid w:val="00B5437B"/>
    <w:rsid w:val="00B5471E"/>
    <w:rsid w:val="00B54D89"/>
    <w:rsid w:val="00B54DB6"/>
    <w:rsid w:val="00B55B8B"/>
    <w:rsid w:val="00B55D39"/>
    <w:rsid w:val="00B5618F"/>
    <w:rsid w:val="00B56238"/>
    <w:rsid w:val="00B568EC"/>
    <w:rsid w:val="00B56B69"/>
    <w:rsid w:val="00B56FAE"/>
    <w:rsid w:val="00B5714F"/>
    <w:rsid w:val="00B57286"/>
    <w:rsid w:val="00B60685"/>
    <w:rsid w:val="00B60A5C"/>
    <w:rsid w:val="00B61AFC"/>
    <w:rsid w:val="00B61B04"/>
    <w:rsid w:val="00B620F7"/>
    <w:rsid w:val="00B6262A"/>
    <w:rsid w:val="00B62F3B"/>
    <w:rsid w:val="00B63A6E"/>
    <w:rsid w:val="00B63CD7"/>
    <w:rsid w:val="00B64861"/>
    <w:rsid w:val="00B64D25"/>
    <w:rsid w:val="00B6504B"/>
    <w:rsid w:val="00B65558"/>
    <w:rsid w:val="00B6578B"/>
    <w:rsid w:val="00B65905"/>
    <w:rsid w:val="00B6624D"/>
    <w:rsid w:val="00B66306"/>
    <w:rsid w:val="00B66810"/>
    <w:rsid w:val="00B66A47"/>
    <w:rsid w:val="00B6739C"/>
    <w:rsid w:val="00B67645"/>
    <w:rsid w:val="00B67D6B"/>
    <w:rsid w:val="00B731D6"/>
    <w:rsid w:val="00B73456"/>
    <w:rsid w:val="00B73831"/>
    <w:rsid w:val="00B73CCB"/>
    <w:rsid w:val="00B742AF"/>
    <w:rsid w:val="00B74A44"/>
    <w:rsid w:val="00B74D7B"/>
    <w:rsid w:val="00B75A60"/>
    <w:rsid w:val="00B7631E"/>
    <w:rsid w:val="00B77915"/>
    <w:rsid w:val="00B77C25"/>
    <w:rsid w:val="00B77F98"/>
    <w:rsid w:val="00B801C3"/>
    <w:rsid w:val="00B805BF"/>
    <w:rsid w:val="00B80726"/>
    <w:rsid w:val="00B81145"/>
    <w:rsid w:val="00B817EC"/>
    <w:rsid w:val="00B81B47"/>
    <w:rsid w:val="00B8277B"/>
    <w:rsid w:val="00B82CD8"/>
    <w:rsid w:val="00B82DA1"/>
    <w:rsid w:val="00B83011"/>
    <w:rsid w:val="00B830C4"/>
    <w:rsid w:val="00B830FC"/>
    <w:rsid w:val="00B835CA"/>
    <w:rsid w:val="00B8368D"/>
    <w:rsid w:val="00B83C51"/>
    <w:rsid w:val="00B842AA"/>
    <w:rsid w:val="00B8440A"/>
    <w:rsid w:val="00B846D9"/>
    <w:rsid w:val="00B84879"/>
    <w:rsid w:val="00B84996"/>
    <w:rsid w:val="00B84FC6"/>
    <w:rsid w:val="00B85248"/>
    <w:rsid w:val="00B8553C"/>
    <w:rsid w:val="00B86417"/>
    <w:rsid w:val="00B86E68"/>
    <w:rsid w:val="00B87DAF"/>
    <w:rsid w:val="00B9096D"/>
    <w:rsid w:val="00B90FC5"/>
    <w:rsid w:val="00B90FF1"/>
    <w:rsid w:val="00B92606"/>
    <w:rsid w:val="00B9308D"/>
    <w:rsid w:val="00B93120"/>
    <w:rsid w:val="00B93247"/>
    <w:rsid w:val="00B9335C"/>
    <w:rsid w:val="00B941AB"/>
    <w:rsid w:val="00B955A5"/>
    <w:rsid w:val="00B95661"/>
    <w:rsid w:val="00B95841"/>
    <w:rsid w:val="00B95899"/>
    <w:rsid w:val="00B96118"/>
    <w:rsid w:val="00B963BD"/>
    <w:rsid w:val="00B96876"/>
    <w:rsid w:val="00B97AEB"/>
    <w:rsid w:val="00B97B2C"/>
    <w:rsid w:val="00BA0AED"/>
    <w:rsid w:val="00BA104B"/>
    <w:rsid w:val="00BA1620"/>
    <w:rsid w:val="00BA16D6"/>
    <w:rsid w:val="00BA17F6"/>
    <w:rsid w:val="00BA1855"/>
    <w:rsid w:val="00BA1C8C"/>
    <w:rsid w:val="00BA2705"/>
    <w:rsid w:val="00BA3014"/>
    <w:rsid w:val="00BA368D"/>
    <w:rsid w:val="00BA374D"/>
    <w:rsid w:val="00BA3874"/>
    <w:rsid w:val="00BA3987"/>
    <w:rsid w:val="00BA3AC1"/>
    <w:rsid w:val="00BA3CAE"/>
    <w:rsid w:val="00BA41A2"/>
    <w:rsid w:val="00BA5326"/>
    <w:rsid w:val="00BA570D"/>
    <w:rsid w:val="00BA5828"/>
    <w:rsid w:val="00BA5DCC"/>
    <w:rsid w:val="00BA7563"/>
    <w:rsid w:val="00BB118B"/>
    <w:rsid w:val="00BB1E33"/>
    <w:rsid w:val="00BB20FC"/>
    <w:rsid w:val="00BB2829"/>
    <w:rsid w:val="00BB3299"/>
    <w:rsid w:val="00BB3CDC"/>
    <w:rsid w:val="00BB4CFB"/>
    <w:rsid w:val="00BB4D29"/>
    <w:rsid w:val="00BB4DCC"/>
    <w:rsid w:val="00BB5A4F"/>
    <w:rsid w:val="00BB5A6D"/>
    <w:rsid w:val="00BB6065"/>
    <w:rsid w:val="00BB6BDD"/>
    <w:rsid w:val="00BB763A"/>
    <w:rsid w:val="00BC17DD"/>
    <w:rsid w:val="00BC1ED0"/>
    <w:rsid w:val="00BC24EB"/>
    <w:rsid w:val="00BC2E1C"/>
    <w:rsid w:val="00BC2F20"/>
    <w:rsid w:val="00BC418C"/>
    <w:rsid w:val="00BC4605"/>
    <w:rsid w:val="00BC4608"/>
    <w:rsid w:val="00BC5DF9"/>
    <w:rsid w:val="00BC64FB"/>
    <w:rsid w:val="00BC692D"/>
    <w:rsid w:val="00BC6983"/>
    <w:rsid w:val="00BC6A69"/>
    <w:rsid w:val="00BD022D"/>
    <w:rsid w:val="00BD0C44"/>
    <w:rsid w:val="00BD1291"/>
    <w:rsid w:val="00BD26C9"/>
    <w:rsid w:val="00BD2AA8"/>
    <w:rsid w:val="00BD3518"/>
    <w:rsid w:val="00BD3D4D"/>
    <w:rsid w:val="00BD40EC"/>
    <w:rsid w:val="00BD4111"/>
    <w:rsid w:val="00BD6083"/>
    <w:rsid w:val="00BD703C"/>
    <w:rsid w:val="00BD748E"/>
    <w:rsid w:val="00BD7FF3"/>
    <w:rsid w:val="00BE0990"/>
    <w:rsid w:val="00BE0DD8"/>
    <w:rsid w:val="00BE0FDD"/>
    <w:rsid w:val="00BE1890"/>
    <w:rsid w:val="00BE20DF"/>
    <w:rsid w:val="00BE271F"/>
    <w:rsid w:val="00BE2BDA"/>
    <w:rsid w:val="00BE38D1"/>
    <w:rsid w:val="00BE3CFA"/>
    <w:rsid w:val="00BE5184"/>
    <w:rsid w:val="00BE631F"/>
    <w:rsid w:val="00BE6663"/>
    <w:rsid w:val="00BE67A6"/>
    <w:rsid w:val="00BE7055"/>
    <w:rsid w:val="00BE7F43"/>
    <w:rsid w:val="00BF0081"/>
    <w:rsid w:val="00BF0DD6"/>
    <w:rsid w:val="00BF1199"/>
    <w:rsid w:val="00BF1200"/>
    <w:rsid w:val="00BF127E"/>
    <w:rsid w:val="00BF2603"/>
    <w:rsid w:val="00BF3C3E"/>
    <w:rsid w:val="00BF3C70"/>
    <w:rsid w:val="00BF4DCD"/>
    <w:rsid w:val="00BF4E7D"/>
    <w:rsid w:val="00BF5874"/>
    <w:rsid w:val="00C0005F"/>
    <w:rsid w:val="00C01498"/>
    <w:rsid w:val="00C025D7"/>
    <w:rsid w:val="00C02D1B"/>
    <w:rsid w:val="00C035E9"/>
    <w:rsid w:val="00C038F7"/>
    <w:rsid w:val="00C04863"/>
    <w:rsid w:val="00C04911"/>
    <w:rsid w:val="00C05FCD"/>
    <w:rsid w:val="00C06448"/>
    <w:rsid w:val="00C06B20"/>
    <w:rsid w:val="00C0762E"/>
    <w:rsid w:val="00C1014F"/>
    <w:rsid w:val="00C1039B"/>
    <w:rsid w:val="00C10666"/>
    <w:rsid w:val="00C1192D"/>
    <w:rsid w:val="00C119DC"/>
    <w:rsid w:val="00C11A5D"/>
    <w:rsid w:val="00C13807"/>
    <w:rsid w:val="00C145B2"/>
    <w:rsid w:val="00C14899"/>
    <w:rsid w:val="00C1574F"/>
    <w:rsid w:val="00C161C0"/>
    <w:rsid w:val="00C16209"/>
    <w:rsid w:val="00C16CA9"/>
    <w:rsid w:val="00C173F7"/>
    <w:rsid w:val="00C17B66"/>
    <w:rsid w:val="00C20006"/>
    <w:rsid w:val="00C208E7"/>
    <w:rsid w:val="00C21F09"/>
    <w:rsid w:val="00C2204D"/>
    <w:rsid w:val="00C220CD"/>
    <w:rsid w:val="00C2247F"/>
    <w:rsid w:val="00C224A9"/>
    <w:rsid w:val="00C22861"/>
    <w:rsid w:val="00C22D4A"/>
    <w:rsid w:val="00C23BA2"/>
    <w:rsid w:val="00C2460A"/>
    <w:rsid w:val="00C249DF"/>
    <w:rsid w:val="00C24A6B"/>
    <w:rsid w:val="00C25783"/>
    <w:rsid w:val="00C26348"/>
    <w:rsid w:val="00C2638B"/>
    <w:rsid w:val="00C268C6"/>
    <w:rsid w:val="00C273C3"/>
    <w:rsid w:val="00C27667"/>
    <w:rsid w:val="00C27B8D"/>
    <w:rsid w:val="00C27BE2"/>
    <w:rsid w:val="00C3013E"/>
    <w:rsid w:val="00C31304"/>
    <w:rsid w:val="00C320CE"/>
    <w:rsid w:val="00C32128"/>
    <w:rsid w:val="00C3220F"/>
    <w:rsid w:val="00C3274E"/>
    <w:rsid w:val="00C33CC2"/>
    <w:rsid w:val="00C33F9B"/>
    <w:rsid w:val="00C34BBC"/>
    <w:rsid w:val="00C34CDC"/>
    <w:rsid w:val="00C35593"/>
    <w:rsid w:val="00C35EC9"/>
    <w:rsid w:val="00C364C6"/>
    <w:rsid w:val="00C36A92"/>
    <w:rsid w:val="00C36B54"/>
    <w:rsid w:val="00C373AA"/>
    <w:rsid w:val="00C378B7"/>
    <w:rsid w:val="00C408F4"/>
    <w:rsid w:val="00C41DDB"/>
    <w:rsid w:val="00C42102"/>
    <w:rsid w:val="00C42167"/>
    <w:rsid w:val="00C424E5"/>
    <w:rsid w:val="00C42EE7"/>
    <w:rsid w:val="00C43519"/>
    <w:rsid w:val="00C43AE1"/>
    <w:rsid w:val="00C459E7"/>
    <w:rsid w:val="00C47017"/>
    <w:rsid w:val="00C47183"/>
    <w:rsid w:val="00C4724C"/>
    <w:rsid w:val="00C47598"/>
    <w:rsid w:val="00C477CB"/>
    <w:rsid w:val="00C50984"/>
    <w:rsid w:val="00C54909"/>
    <w:rsid w:val="00C54DF4"/>
    <w:rsid w:val="00C55A05"/>
    <w:rsid w:val="00C55DCD"/>
    <w:rsid w:val="00C5626D"/>
    <w:rsid w:val="00C56AA6"/>
    <w:rsid w:val="00C611BD"/>
    <w:rsid w:val="00C61651"/>
    <w:rsid w:val="00C616A0"/>
    <w:rsid w:val="00C6186C"/>
    <w:rsid w:val="00C61D1E"/>
    <w:rsid w:val="00C6296E"/>
    <w:rsid w:val="00C629E3"/>
    <w:rsid w:val="00C62B30"/>
    <w:rsid w:val="00C62F58"/>
    <w:rsid w:val="00C631F7"/>
    <w:rsid w:val="00C63267"/>
    <w:rsid w:val="00C63530"/>
    <w:rsid w:val="00C64329"/>
    <w:rsid w:val="00C647C8"/>
    <w:rsid w:val="00C64D28"/>
    <w:rsid w:val="00C655C0"/>
    <w:rsid w:val="00C6595A"/>
    <w:rsid w:val="00C65F57"/>
    <w:rsid w:val="00C661DC"/>
    <w:rsid w:val="00C66C22"/>
    <w:rsid w:val="00C6731A"/>
    <w:rsid w:val="00C6732E"/>
    <w:rsid w:val="00C70A83"/>
    <w:rsid w:val="00C71427"/>
    <w:rsid w:val="00C71476"/>
    <w:rsid w:val="00C71763"/>
    <w:rsid w:val="00C72117"/>
    <w:rsid w:val="00C724E4"/>
    <w:rsid w:val="00C74A4E"/>
    <w:rsid w:val="00C74AE4"/>
    <w:rsid w:val="00C751DA"/>
    <w:rsid w:val="00C7540E"/>
    <w:rsid w:val="00C75C4A"/>
    <w:rsid w:val="00C777C5"/>
    <w:rsid w:val="00C77BCB"/>
    <w:rsid w:val="00C77C13"/>
    <w:rsid w:val="00C8145C"/>
    <w:rsid w:val="00C81D33"/>
    <w:rsid w:val="00C825DF"/>
    <w:rsid w:val="00C849EC"/>
    <w:rsid w:val="00C85531"/>
    <w:rsid w:val="00C8562D"/>
    <w:rsid w:val="00C859CD"/>
    <w:rsid w:val="00C86767"/>
    <w:rsid w:val="00C86896"/>
    <w:rsid w:val="00C8715B"/>
    <w:rsid w:val="00C87398"/>
    <w:rsid w:val="00C874EF"/>
    <w:rsid w:val="00C87576"/>
    <w:rsid w:val="00C879BB"/>
    <w:rsid w:val="00C87F35"/>
    <w:rsid w:val="00C9195F"/>
    <w:rsid w:val="00C91A7C"/>
    <w:rsid w:val="00C922C6"/>
    <w:rsid w:val="00C933E4"/>
    <w:rsid w:val="00C93837"/>
    <w:rsid w:val="00C94598"/>
    <w:rsid w:val="00C94DB8"/>
    <w:rsid w:val="00C9511F"/>
    <w:rsid w:val="00C9568C"/>
    <w:rsid w:val="00C95A37"/>
    <w:rsid w:val="00C97FED"/>
    <w:rsid w:val="00CA0334"/>
    <w:rsid w:val="00CA0AE3"/>
    <w:rsid w:val="00CA10E2"/>
    <w:rsid w:val="00CA3EC7"/>
    <w:rsid w:val="00CA51F2"/>
    <w:rsid w:val="00CA6432"/>
    <w:rsid w:val="00CA66C1"/>
    <w:rsid w:val="00CB152C"/>
    <w:rsid w:val="00CB17D3"/>
    <w:rsid w:val="00CB185D"/>
    <w:rsid w:val="00CB2990"/>
    <w:rsid w:val="00CB392F"/>
    <w:rsid w:val="00CB3AA1"/>
    <w:rsid w:val="00CB3B12"/>
    <w:rsid w:val="00CB3E05"/>
    <w:rsid w:val="00CB49E7"/>
    <w:rsid w:val="00CB5FB3"/>
    <w:rsid w:val="00CB6F0E"/>
    <w:rsid w:val="00CB7740"/>
    <w:rsid w:val="00CB7E96"/>
    <w:rsid w:val="00CC1100"/>
    <w:rsid w:val="00CC1D8A"/>
    <w:rsid w:val="00CC1DFD"/>
    <w:rsid w:val="00CC3504"/>
    <w:rsid w:val="00CC418B"/>
    <w:rsid w:val="00CC454B"/>
    <w:rsid w:val="00CC46AA"/>
    <w:rsid w:val="00CC53A9"/>
    <w:rsid w:val="00CC599A"/>
    <w:rsid w:val="00CC634E"/>
    <w:rsid w:val="00CC70D7"/>
    <w:rsid w:val="00CC7403"/>
    <w:rsid w:val="00CD0554"/>
    <w:rsid w:val="00CD0F97"/>
    <w:rsid w:val="00CD1D5F"/>
    <w:rsid w:val="00CD2245"/>
    <w:rsid w:val="00CD2440"/>
    <w:rsid w:val="00CD2BE0"/>
    <w:rsid w:val="00CD313B"/>
    <w:rsid w:val="00CD43DE"/>
    <w:rsid w:val="00CD4415"/>
    <w:rsid w:val="00CD45E6"/>
    <w:rsid w:val="00CD45F4"/>
    <w:rsid w:val="00CD4AA0"/>
    <w:rsid w:val="00CD511C"/>
    <w:rsid w:val="00CD5174"/>
    <w:rsid w:val="00CD5183"/>
    <w:rsid w:val="00CD54A4"/>
    <w:rsid w:val="00CD6492"/>
    <w:rsid w:val="00CD6E13"/>
    <w:rsid w:val="00CD74DD"/>
    <w:rsid w:val="00CD77F8"/>
    <w:rsid w:val="00CD78F5"/>
    <w:rsid w:val="00CE0E62"/>
    <w:rsid w:val="00CE118D"/>
    <w:rsid w:val="00CE191D"/>
    <w:rsid w:val="00CE2247"/>
    <w:rsid w:val="00CE28F2"/>
    <w:rsid w:val="00CE3907"/>
    <w:rsid w:val="00CE48B2"/>
    <w:rsid w:val="00CE5417"/>
    <w:rsid w:val="00CE5644"/>
    <w:rsid w:val="00CE5AEF"/>
    <w:rsid w:val="00CE670A"/>
    <w:rsid w:val="00CE6900"/>
    <w:rsid w:val="00CE73D1"/>
    <w:rsid w:val="00CE7683"/>
    <w:rsid w:val="00CE7879"/>
    <w:rsid w:val="00CE7FF3"/>
    <w:rsid w:val="00CF0B77"/>
    <w:rsid w:val="00CF1176"/>
    <w:rsid w:val="00CF1B1D"/>
    <w:rsid w:val="00CF2A78"/>
    <w:rsid w:val="00CF3181"/>
    <w:rsid w:val="00CF355E"/>
    <w:rsid w:val="00CF3C7B"/>
    <w:rsid w:val="00CF3FA4"/>
    <w:rsid w:val="00CF486F"/>
    <w:rsid w:val="00CF489B"/>
    <w:rsid w:val="00CF4A27"/>
    <w:rsid w:val="00CF4FCF"/>
    <w:rsid w:val="00CF542D"/>
    <w:rsid w:val="00CF5B15"/>
    <w:rsid w:val="00CF623D"/>
    <w:rsid w:val="00CF681A"/>
    <w:rsid w:val="00CF6B4E"/>
    <w:rsid w:val="00CF7838"/>
    <w:rsid w:val="00D00292"/>
    <w:rsid w:val="00D00639"/>
    <w:rsid w:val="00D012CB"/>
    <w:rsid w:val="00D01F2E"/>
    <w:rsid w:val="00D023A6"/>
    <w:rsid w:val="00D02D66"/>
    <w:rsid w:val="00D036F5"/>
    <w:rsid w:val="00D043F4"/>
    <w:rsid w:val="00D049E4"/>
    <w:rsid w:val="00D05950"/>
    <w:rsid w:val="00D06455"/>
    <w:rsid w:val="00D07564"/>
    <w:rsid w:val="00D07931"/>
    <w:rsid w:val="00D07E90"/>
    <w:rsid w:val="00D100E8"/>
    <w:rsid w:val="00D10D93"/>
    <w:rsid w:val="00D10E25"/>
    <w:rsid w:val="00D11D94"/>
    <w:rsid w:val="00D12962"/>
    <w:rsid w:val="00D1302A"/>
    <w:rsid w:val="00D1303A"/>
    <w:rsid w:val="00D13C21"/>
    <w:rsid w:val="00D14443"/>
    <w:rsid w:val="00D146D5"/>
    <w:rsid w:val="00D15080"/>
    <w:rsid w:val="00D156ED"/>
    <w:rsid w:val="00D158FC"/>
    <w:rsid w:val="00D160A6"/>
    <w:rsid w:val="00D168F9"/>
    <w:rsid w:val="00D2003F"/>
    <w:rsid w:val="00D2097A"/>
    <w:rsid w:val="00D20F07"/>
    <w:rsid w:val="00D20FAA"/>
    <w:rsid w:val="00D212E0"/>
    <w:rsid w:val="00D22340"/>
    <w:rsid w:val="00D22355"/>
    <w:rsid w:val="00D2249B"/>
    <w:rsid w:val="00D22BCB"/>
    <w:rsid w:val="00D2368D"/>
    <w:rsid w:val="00D2390C"/>
    <w:rsid w:val="00D23DD3"/>
    <w:rsid w:val="00D2588B"/>
    <w:rsid w:val="00D259FB"/>
    <w:rsid w:val="00D25FF3"/>
    <w:rsid w:val="00D26576"/>
    <w:rsid w:val="00D26B45"/>
    <w:rsid w:val="00D26B97"/>
    <w:rsid w:val="00D27C7A"/>
    <w:rsid w:val="00D27EDA"/>
    <w:rsid w:val="00D27F02"/>
    <w:rsid w:val="00D307C1"/>
    <w:rsid w:val="00D309EC"/>
    <w:rsid w:val="00D30AD0"/>
    <w:rsid w:val="00D3189C"/>
    <w:rsid w:val="00D31E6A"/>
    <w:rsid w:val="00D3219E"/>
    <w:rsid w:val="00D32E98"/>
    <w:rsid w:val="00D33ADE"/>
    <w:rsid w:val="00D340D6"/>
    <w:rsid w:val="00D34188"/>
    <w:rsid w:val="00D34DA4"/>
    <w:rsid w:val="00D35A6B"/>
    <w:rsid w:val="00D367F9"/>
    <w:rsid w:val="00D36EF4"/>
    <w:rsid w:val="00D376CE"/>
    <w:rsid w:val="00D41E38"/>
    <w:rsid w:val="00D42FC2"/>
    <w:rsid w:val="00D43004"/>
    <w:rsid w:val="00D43684"/>
    <w:rsid w:val="00D44129"/>
    <w:rsid w:val="00D4414A"/>
    <w:rsid w:val="00D44467"/>
    <w:rsid w:val="00D44D1C"/>
    <w:rsid w:val="00D44DD3"/>
    <w:rsid w:val="00D452F0"/>
    <w:rsid w:val="00D456A1"/>
    <w:rsid w:val="00D46690"/>
    <w:rsid w:val="00D46B19"/>
    <w:rsid w:val="00D46E7E"/>
    <w:rsid w:val="00D47848"/>
    <w:rsid w:val="00D479D2"/>
    <w:rsid w:val="00D47FBA"/>
    <w:rsid w:val="00D50DBA"/>
    <w:rsid w:val="00D513A3"/>
    <w:rsid w:val="00D517D1"/>
    <w:rsid w:val="00D51E2B"/>
    <w:rsid w:val="00D52D8F"/>
    <w:rsid w:val="00D532F2"/>
    <w:rsid w:val="00D5334C"/>
    <w:rsid w:val="00D55458"/>
    <w:rsid w:val="00D55827"/>
    <w:rsid w:val="00D55D91"/>
    <w:rsid w:val="00D55F1B"/>
    <w:rsid w:val="00D566B2"/>
    <w:rsid w:val="00D5795B"/>
    <w:rsid w:val="00D57DB2"/>
    <w:rsid w:val="00D57FD4"/>
    <w:rsid w:val="00D601AE"/>
    <w:rsid w:val="00D60D33"/>
    <w:rsid w:val="00D621A8"/>
    <w:rsid w:val="00D63710"/>
    <w:rsid w:val="00D639CB"/>
    <w:rsid w:val="00D63B9F"/>
    <w:rsid w:val="00D64295"/>
    <w:rsid w:val="00D6485B"/>
    <w:rsid w:val="00D64995"/>
    <w:rsid w:val="00D64FDE"/>
    <w:rsid w:val="00D65384"/>
    <w:rsid w:val="00D6549A"/>
    <w:rsid w:val="00D65A75"/>
    <w:rsid w:val="00D67500"/>
    <w:rsid w:val="00D709EF"/>
    <w:rsid w:val="00D70C55"/>
    <w:rsid w:val="00D71160"/>
    <w:rsid w:val="00D71C7B"/>
    <w:rsid w:val="00D71D5B"/>
    <w:rsid w:val="00D7233E"/>
    <w:rsid w:val="00D723C9"/>
    <w:rsid w:val="00D732DE"/>
    <w:rsid w:val="00D7421F"/>
    <w:rsid w:val="00D74BB9"/>
    <w:rsid w:val="00D7516A"/>
    <w:rsid w:val="00D75904"/>
    <w:rsid w:val="00D766D5"/>
    <w:rsid w:val="00D767F1"/>
    <w:rsid w:val="00D76A70"/>
    <w:rsid w:val="00D77778"/>
    <w:rsid w:val="00D77A22"/>
    <w:rsid w:val="00D8002B"/>
    <w:rsid w:val="00D80A40"/>
    <w:rsid w:val="00D80BC9"/>
    <w:rsid w:val="00D81C48"/>
    <w:rsid w:val="00D8236C"/>
    <w:rsid w:val="00D83619"/>
    <w:rsid w:val="00D83F99"/>
    <w:rsid w:val="00D84BBC"/>
    <w:rsid w:val="00D85162"/>
    <w:rsid w:val="00D8534E"/>
    <w:rsid w:val="00D85FB1"/>
    <w:rsid w:val="00D86C8B"/>
    <w:rsid w:val="00D87179"/>
    <w:rsid w:val="00D90622"/>
    <w:rsid w:val="00D90AEB"/>
    <w:rsid w:val="00D91187"/>
    <w:rsid w:val="00D91303"/>
    <w:rsid w:val="00D91911"/>
    <w:rsid w:val="00D92384"/>
    <w:rsid w:val="00D9302A"/>
    <w:rsid w:val="00D93130"/>
    <w:rsid w:val="00D9358C"/>
    <w:rsid w:val="00D93B91"/>
    <w:rsid w:val="00D93C80"/>
    <w:rsid w:val="00D94C52"/>
    <w:rsid w:val="00D94E16"/>
    <w:rsid w:val="00D94F5F"/>
    <w:rsid w:val="00D951D4"/>
    <w:rsid w:val="00D95920"/>
    <w:rsid w:val="00D96350"/>
    <w:rsid w:val="00D96A03"/>
    <w:rsid w:val="00D96F59"/>
    <w:rsid w:val="00D9772A"/>
    <w:rsid w:val="00D977A4"/>
    <w:rsid w:val="00D97A53"/>
    <w:rsid w:val="00D97B9F"/>
    <w:rsid w:val="00D97C6E"/>
    <w:rsid w:val="00D97DFD"/>
    <w:rsid w:val="00DA0588"/>
    <w:rsid w:val="00DA11CF"/>
    <w:rsid w:val="00DA13EA"/>
    <w:rsid w:val="00DA2614"/>
    <w:rsid w:val="00DA2D3A"/>
    <w:rsid w:val="00DA3706"/>
    <w:rsid w:val="00DA3BEE"/>
    <w:rsid w:val="00DA4705"/>
    <w:rsid w:val="00DA4973"/>
    <w:rsid w:val="00DA4F7C"/>
    <w:rsid w:val="00DA50A3"/>
    <w:rsid w:val="00DA510D"/>
    <w:rsid w:val="00DA64D5"/>
    <w:rsid w:val="00DB042B"/>
    <w:rsid w:val="00DB08C4"/>
    <w:rsid w:val="00DB0D27"/>
    <w:rsid w:val="00DB131A"/>
    <w:rsid w:val="00DB14DC"/>
    <w:rsid w:val="00DB24F5"/>
    <w:rsid w:val="00DB263E"/>
    <w:rsid w:val="00DB2EC7"/>
    <w:rsid w:val="00DB2FFD"/>
    <w:rsid w:val="00DB30BB"/>
    <w:rsid w:val="00DB4A0B"/>
    <w:rsid w:val="00DB4AF1"/>
    <w:rsid w:val="00DB50BE"/>
    <w:rsid w:val="00DB5646"/>
    <w:rsid w:val="00DB63DF"/>
    <w:rsid w:val="00DB64D7"/>
    <w:rsid w:val="00DB66DD"/>
    <w:rsid w:val="00DB6754"/>
    <w:rsid w:val="00DB69FD"/>
    <w:rsid w:val="00DB6ED1"/>
    <w:rsid w:val="00DB7396"/>
    <w:rsid w:val="00DB74D1"/>
    <w:rsid w:val="00DB764F"/>
    <w:rsid w:val="00DB76C2"/>
    <w:rsid w:val="00DB7A8A"/>
    <w:rsid w:val="00DC0AE5"/>
    <w:rsid w:val="00DC16A0"/>
    <w:rsid w:val="00DC1CE0"/>
    <w:rsid w:val="00DC27CC"/>
    <w:rsid w:val="00DC3AF4"/>
    <w:rsid w:val="00DC581F"/>
    <w:rsid w:val="00DC5A0B"/>
    <w:rsid w:val="00DC5ADE"/>
    <w:rsid w:val="00DC6C3F"/>
    <w:rsid w:val="00DC7C35"/>
    <w:rsid w:val="00DD0B4B"/>
    <w:rsid w:val="00DD1123"/>
    <w:rsid w:val="00DD1EFD"/>
    <w:rsid w:val="00DD26EF"/>
    <w:rsid w:val="00DD3351"/>
    <w:rsid w:val="00DD3E7C"/>
    <w:rsid w:val="00DD4219"/>
    <w:rsid w:val="00DD4CAC"/>
    <w:rsid w:val="00DD5045"/>
    <w:rsid w:val="00DD5FE4"/>
    <w:rsid w:val="00DD61E1"/>
    <w:rsid w:val="00DD758C"/>
    <w:rsid w:val="00DD7BFB"/>
    <w:rsid w:val="00DE00B7"/>
    <w:rsid w:val="00DE2148"/>
    <w:rsid w:val="00DE2230"/>
    <w:rsid w:val="00DE30AB"/>
    <w:rsid w:val="00DE41AF"/>
    <w:rsid w:val="00DE5126"/>
    <w:rsid w:val="00DE5AB2"/>
    <w:rsid w:val="00DE5C7B"/>
    <w:rsid w:val="00DE5DF6"/>
    <w:rsid w:val="00DE635D"/>
    <w:rsid w:val="00DE65A8"/>
    <w:rsid w:val="00DE6BCB"/>
    <w:rsid w:val="00DE6C15"/>
    <w:rsid w:val="00DE77A5"/>
    <w:rsid w:val="00DF02A2"/>
    <w:rsid w:val="00DF051E"/>
    <w:rsid w:val="00DF0D87"/>
    <w:rsid w:val="00DF11E9"/>
    <w:rsid w:val="00DF1BE7"/>
    <w:rsid w:val="00DF2A24"/>
    <w:rsid w:val="00DF33A4"/>
    <w:rsid w:val="00DF378B"/>
    <w:rsid w:val="00DF3C95"/>
    <w:rsid w:val="00DF3DB8"/>
    <w:rsid w:val="00DF4104"/>
    <w:rsid w:val="00DF43FD"/>
    <w:rsid w:val="00DF531B"/>
    <w:rsid w:val="00DF532C"/>
    <w:rsid w:val="00DF556F"/>
    <w:rsid w:val="00DF6452"/>
    <w:rsid w:val="00DF7B08"/>
    <w:rsid w:val="00DF7B7C"/>
    <w:rsid w:val="00DF7C21"/>
    <w:rsid w:val="00E00CC4"/>
    <w:rsid w:val="00E036E6"/>
    <w:rsid w:val="00E0370C"/>
    <w:rsid w:val="00E03B33"/>
    <w:rsid w:val="00E03D71"/>
    <w:rsid w:val="00E04102"/>
    <w:rsid w:val="00E0490C"/>
    <w:rsid w:val="00E04A05"/>
    <w:rsid w:val="00E05031"/>
    <w:rsid w:val="00E06412"/>
    <w:rsid w:val="00E06B89"/>
    <w:rsid w:val="00E06BF6"/>
    <w:rsid w:val="00E06E0F"/>
    <w:rsid w:val="00E07A24"/>
    <w:rsid w:val="00E07CA3"/>
    <w:rsid w:val="00E12355"/>
    <w:rsid w:val="00E12C45"/>
    <w:rsid w:val="00E12DC4"/>
    <w:rsid w:val="00E13DA0"/>
    <w:rsid w:val="00E141AA"/>
    <w:rsid w:val="00E14E10"/>
    <w:rsid w:val="00E15880"/>
    <w:rsid w:val="00E15B77"/>
    <w:rsid w:val="00E162D8"/>
    <w:rsid w:val="00E1648C"/>
    <w:rsid w:val="00E16895"/>
    <w:rsid w:val="00E207A7"/>
    <w:rsid w:val="00E20C36"/>
    <w:rsid w:val="00E21532"/>
    <w:rsid w:val="00E216EE"/>
    <w:rsid w:val="00E21CAB"/>
    <w:rsid w:val="00E21EA9"/>
    <w:rsid w:val="00E22390"/>
    <w:rsid w:val="00E2283D"/>
    <w:rsid w:val="00E22A3C"/>
    <w:rsid w:val="00E22B66"/>
    <w:rsid w:val="00E234B3"/>
    <w:rsid w:val="00E237AF"/>
    <w:rsid w:val="00E23883"/>
    <w:rsid w:val="00E23C30"/>
    <w:rsid w:val="00E24118"/>
    <w:rsid w:val="00E2519C"/>
    <w:rsid w:val="00E25B05"/>
    <w:rsid w:val="00E26154"/>
    <w:rsid w:val="00E26C49"/>
    <w:rsid w:val="00E279C3"/>
    <w:rsid w:val="00E301EC"/>
    <w:rsid w:val="00E3043F"/>
    <w:rsid w:val="00E3081D"/>
    <w:rsid w:val="00E30D23"/>
    <w:rsid w:val="00E313B1"/>
    <w:rsid w:val="00E31764"/>
    <w:rsid w:val="00E3220A"/>
    <w:rsid w:val="00E322B7"/>
    <w:rsid w:val="00E3280F"/>
    <w:rsid w:val="00E3308B"/>
    <w:rsid w:val="00E33331"/>
    <w:rsid w:val="00E342C8"/>
    <w:rsid w:val="00E346E5"/>
    <w:rsid w:val="00E34FD0"/>
    <w:rsid w:val="00E357A9"/>
    <w:rsid w:val="00E36EFE"/>
    <w:rsid w:val="00E37427"/>
    <w:rsid w:val="00E37866"/>
    <w:rsid w:val="00E40411"/>
    <w:rsid w:val="00E40443"/>
    <w:rsid w:val="00E4077E"/>
    <w:rsid w:val="00E41999"/>
    <w:rsid w:val="00E41DAA"/>
    <w:rsid w:val="00E42A7D"/>
    <w:rsid w:val="00E42B3F"/>
    <w:rsid w:val="00E42C08"/>
    <w:rsid w:val="00E42DA9"/>
    <w:rsid w:val="00E431AC"/>
    <w:rsid w:val="00E437AB"/>
    <w:rsid w:val="00E43A98"/>
    <w:rsid w:val="00E43B7A"/>
    <w:rsid w:val="00E43EF9"/>
    <w:rsid w:val="00E44402"/>
    <w:rsid w:val="00E45468"/>
    <w:rsid w:val="00E46873"/>
    <w:rsid w:val="00E46C96"/>
    <w:rsid w:val="00E471D5"/>
    <w:rsid w:val="00E47340"/>
    <w:rsid w:val="00E474FD"/>
    <w:rsid w:val="00E4785B"/>
    <w:rsid w:val="00E47A68"/>
    <w:rsid w:val="00E50183"/>
    <w:rsid w:val="00E503CC"/>
    <w:rsid w:val="00E532C2"/>
    <w:rsid w:val="00E53909"/>
    <w:rsid w:val="00E53D46"/>
    <w:rsid w:val="00E54FFF"/>
    <w:rsid w:val="00E550B7"/>
    <w:rsid w:val="00E55816"/>
    <w:rsid w:val="00E55AED"/>
    <w:rsid w:val="00E56B8D"/>
    <w:rsid w:val="00E576CF"/>
    <w:rsid w:val="00E57EE9"/>
    <w:rsid w:val="00E60368"/>
    <w:rsid w:val="00E604F3"/>
    <w:rsid w:val="00E606D5"/>
    <w:rsid w:val="00E60D2F"/>
    <w:rsid w:val="00E60F5D"/>
    <w:rsid w:val="00E6194A"/>
    <w:rsid w:val="00E6264D"/>
    <w:rsid w:val="00E62956"/>
    <w:rsid w:val="00E6350F"/>
    <w:rsid w:val="00E64278"/>
    <w:rsid w:val="00E649A7"/>
    <w:rsid w:val="00E64D6D"/>
    <w:rsid w:val="00E665EA"/>
    <w:rsid w:val="00E66AA8"/>
    <w:rsid w:val="00E675E9"/>
    <w:rsid w:val="00E6784A"/>
    <w:rsid w:val="00E678E5"/>
    <w:rsid w:val="00E7032D"/>
    <w:rsid w:val="00E707DC"/>
    <w:rsid w:val="00E7087B"/>
    <w:rsid w:val="00E71FD0"/>
    <w:rsid w:val="00E726FC"/>
    <w:rsid w:val="00E735DD"/>
    <w:rsid w:val="00E73A30"/>
    <w:rsid w:val="00E73BEC"/>
    <w:rsid w:val="00E73D26"/>
    <w:rsid w:val="00E744AA"/>
    <w:rsid w:val="00E75396"/>
    <w:rsid w:val="00E75C53"/>
    <w:rsid w:val="00E75C87"/>
    <w:rsid w:val="00E76A83"/>
    <w:rsid w:val="00E76BB6"/>
    <w:rsid w:val="00E76C7C"/>
    <w:rsid w:val="00E76D5E"/>
    <w:rsid w:val="00E7703D"/>
    <w:rsid w:val="00E800CA"/>
    <w:rsid w:val="00E803ED"/>
    <w:rsid w:val="00E811B5"/>
    <w:rsid w:val="00E81659"/>
    <w:rsid w:val="00E81A68"/>
    <w:rsid w:val="00E83107"/>
    <w:rsid w:val="00E83398"/>
    <w:rsid w:val="00E833AC"/>
    <w:rsid w:val="00E83404"/>
    <w:rsid w:val="00E8346F"/>
    <w:rsid w:val="00E834F4"/>
    <w:rsid w:val="00E838AF"/>
    <w:rsid w:val="00E83DAD"/>
    <w:rsid w:val="00E84197"/>
    <w:rsid w:val="00E84818"/>
    <w:rsid w:val="00E86586"/>
    <w:rsid w:val="00E86619"/>
    <w:rsid w:val="00E90646"/>
    <w:rsid w:val="00E908BB"/>
    <w:rsid w:val="00E9288B"/>
    <w:rsid w:val="00E92F88"/>
    <w:rsid w:val="00E93150"/>
    <w:rsid w:val="00E9400E"/>
    <w:rsid w:val="00E944DC"/>
    <w:rsid w:val="00E94551"/>
    <w:rsid w:val="00E949DF"/>
    <w:rsid w:val="00E95165"/>
    <w:rsid w:val="00E9565E"/>
    <w:rsid w:val="00E95871"/>
    <w:rsid w:val="00E961B3"/>
    <w:rsid w:val="00E96269"/>
    <w:rsid w:val="00E96634"/>
    <w:rsid w:val="00E969A0"/>
    <w:rsid w:val="00E96C20"/>
    <w:rsid w:val="00E96D8F"/>
    <w:rsid w:val="00E973DC"/>
    <w:rsid w:val="00E97762"/>
    <w:rsid w:val="00E9780B"/>
    <w:rsid w:val="00EA15E6"/>
    <w:rsid w:val="00EA3417"/>
    <w:rsid w:val="00EA3975"/>
    <w:rsid w:val="00EA4028"/>
    <w:rsid w:val="00EA43BF"/>
    <w:rsid w:val="00EA45E3"/>
    <w:rsid w:val="00EA4EE9"/>
    <w:rsid w:val="00EA6AC4"/>
    <w:rsid w:val="00EA7D32"/>
    <w:rsid w:val="00EA7E81"/>
    <w:rsid w:val="00EA7EE8"/>
    <w:rsid w:val="00EB01D6"/>
    <w:rsid w:val="00EB0826"/>
    <w:rsid w:val="00EB1EEB"/>
    <w:rsid w:val="00EB2C5D"/>
    <w:rsid w:val="00EB39F3"/>
    <w:rsid w:val="00EB3B37"/>
    <w:rsid w:val="00EB3ED0"/>
    <w:rsid w:val="00EB46D9"/>
    <w:rsid w:val="00EB4723"/>
    <w:rsid w:val="00EB4904"/>
    <w:rsid w:val="00EB504E"/>
    <w:rsid w:val="00EB5EF9"/>
    <w:rsid w:val="00EB7C4F"/>
    <w:rsid w:val="00EC067E"/>
    <w:rsid w:val="00EC0B8D"/>
    <w:rsid w:val="00EC1853"/>
    <w:rsid w:val="00EC28AE"/>
    <w:rsid w:val="00EC4BA0"/>
    <w:rsid w:val="00EC54D3"/>
    <w:rsid w:val="00EC5A6A"/>
    <w:rsid w:val="00EC5CDE"/>
    <w:rsid w:val="00EC651C"/>
    <w:rsid w:val="00EC7A2D"/>
    <w:rsid w:val="00EC7A8A"/>
    <w:rsid w:val="00EC7A9A"/>
    <w:rsid w:val="00ED0679"/>
    <w:rsid w:val="00ED134E"/>
    <w:rsid w:val="00ED2122"/>
    <w:rsid w:val="00ED2276"/>
    <w:rsid w:val="00ED2974"/>
    <w:rsid w:val="00ED327D"/>
    <w:rsid w:val="00ED376C"/>
    <w:rsid w:val="00ED3BBF"/>
    <w:rsid w:val="00ED3CB7"/>
    <w:rsid w:val="00ED422B"/>
    <w:rsid w:val="00ED5225"/>
    <w:rsid w:val="00ED5815"/>
    <w:rsid w:val="00ED620E"/>
    <w:rsid w:val="00ED6552"/>
    <w:rsid w:val="00ED65C0"/>
    <w:rsid w:val="00ED67A9"/>
    <w:rsid w:val="00ED72C6"/>
    <w:rsid w:val="00ED760E"/>
    <w:rsid w:val="00ED7E20"/>
    <w:rsid w:val="00EE019C"/>
    <w:rsid w:val="00EE01AB"/>
    <w:rsid w:val="00EE0F98"/>
    <w:rsid w:val="00EE1008"/>
    <w:rsid w:val="00EE15A0"/>
    <w:rsid w:val="00EE17D7"/>
    <w:rsid w:val="00EE1D23"/>
    <w:rsid w:val="00EE2132"/>
    <w:rsid w:val="00EE2628"/>
    <w:rsid w:val="00EE3738"/>
    <w:rsid w:val="00EE39ED"/>
    <w:rsid w:val="00EE3E54"/>
    <w:rsid w:val="00EE3F20"/>
    <w:rsid w:val="00EE3F71"/>
    <w:rsid w:val="00EE48E7"/>
    <w:rsid w:val="00EE4D4E"/>
    <w:rsid w:val="00EE5271"/>
    <w:rsid w:val="00EE53F0"/>
    <w:rsid w:val="00EE596E"/>
    <w:rsid w:val="00EE5C4C"/>
    <w:rsid w:val="00EE60FD"/>
    <w:rsid w:val="00EE63A4"/>
    <w:rsid w:val="00EE6D35"/>
    <w:rsid w:val="00EE7730"/>
    <w:rsid w:val="00EE78A0"/>
    <w:rsid w:val="00EE7F80"/>
    <w:rsid w:val="00EF02EB"/>
    <w:rsid w:val="00EF04F3"/>
    <w:rsid w:val="00EF09C9"/>
    <w:rsid w:val="00EF1466"/>
    <w:rsid w:val="00EF387C"/>
    <w:rsid w:val="00EF3C1C"/>
    <w:rsid w:val="00EF3EBE"/>
    <w:rsid w:val="00EF58AE"/>
    <w:rsid w:val="00EF5A94"/>
    <w:rsid w:val="00EF6747"/>
    <w:rsid w:val="00EF744E"/>
    <w:rsid w:val="00EF7564"/>
    <w:rsid w:val="00EF76F0"/>
    <w:rsid w:val="00EF77FB"/>
    <w:rsid w:val="00EF7ED5"/>
    <w:rsid w:val="00EF7FF5"/>
    <w:rsid w:val="00F00C85"/>
    <w:rsid w:val="00F00D91"/>
    <w:rsid w:val="00F00EDC"/>
    <w:rsid w:val="00F0112D"/>
    <w:rsid w:val="00F01461"/>
    <w:rsid w:val="00F0298D"/>
    <w:rsid w:val="00F03280"/>
    <w:rsid w:val="00F04015"/>
    <w:rsid w:val="00F0511F"/>
    <w:rsid w:val="00F058BA"/>
    <w:rsid w:val="00F05F18"/>
    <w:rsid w:val="00F064A9"/>
    <w:rsid w:val="00F0735B"/>
    <w:rsid w:val="00F0761D"/>
    <w:rsid w:val="00F076FF"/>
    <w:rsid w:val="00F07748"/>
    <w:rsid w:val="00F079F2"/>
    <w:rsid w:val="00F10223"/>
    <w:rsid w:val="00F10B12"/>
    <w:rsid w:val="00F11A1E"/>
    <w:rsid w:val="00F11EE6"/>
    <w:rsid w:val="00F124A0"/>
    <w:rsid w:val="00F12B8E"/>
    <w:rsid w:val="00F132CD"/>
    <w:rsid w:val="00F138B4"/>
    <w:rsid w:val="00F148FD"/>
    <w:rsid w:val="00F158BF"/>
    <w:rsid w:val="00F16645"/>
    <w:rsid w:val="00F16647"/>
    <w:rsid w:val="00F167B0"/>
    <w:rsid w:val="00F1798D"/>
    <w:rsid w:val="00F208B1"/>
    <w:rsid w:val="00F20FA9"/>
    <w:rsid w:val="00F214E6"/>
    <w:rsid w:val="00F215E3"/>
    <w:rsid w:val="00F22C62"/>
    <w:rsid w:val="00F232DE"/>
    <w:rsid w:val="00F23410"/>
    <w:rsid w:val="00F246C0"/>
    <w:rsid w:val="00F2486D"/>
    <w:rsid w:val="00F25071"/>
    <w:rsid w:val="00F25325"/>
    <w:rsid w:val="00F25B50"/>
    <w:rsid w:val="00F27DAB"/>
    <w:rsid w:val="00F27E44"/>
    <w:rsid w:val="00F3077C"/>
    <w:rsid w:val="00F30E07"/>
    <w:rsid w:val="00F313BE"/>
    <w:rsid w:val="00F3151A"/>
    <w:rsid w:val="00F31546"/>
    <w:rsid w:val="00F3202B"/>
    <w:rsid w:val="00F33888"/>
    <w:rsid w:val="00F361B4"/>
    <w:rsid w:val="00F36489"/>
    <w:rsid w:val="00F36609"/>
    <w:rsid w:val="00F368B2"/>
    <w:rsid w:val="00F3780B"/>
    <w:rsid w:val="00F379E2"/>
    <w:rsid w:val="00F37A0D"/>
    <w:rsid w:val="00F403C7"/>
    <w:rsid w:val="00F4061E"/>
    <w:rsid w:val="00F407E4"/>
    <w:rsid w:val="00F41C35"/>
    <w:rsid w:val="00F426CC"/>
    <w:rsid w:val="00F43AD1"/>
    <w:rsid w:val="00F43C09"/>
    <w:rsid w:val="00F4443C"/>
    <w:rsid w:val="00F4498E"/>
    <w:rsid w:val="00F45FF4"/>
    <w:rsid w:val="00F46255"/>
    <w:rsid w:val="00F46D65"/>
    <w:rsid w:val="00F47284"/>
    <w:rsid w:val="00F5032F"/>
    <w:rsid w:val="00F504AF"/>
    <w:rsid w:val="00F508BD"/>
    <w:rsid w:val="00F50B27"/>
    <w:rsid w:val="00F50DEC"/>
    <w:rsid w:val="00F510A5"/>
    <w:rsid w:val="00F52606"/>
    <w:rsid w:val="00F52779"/>
    <w:rsid w:val="00F52ABC"/>
    <w:rsid w:val="00F52D5E"/>
    <w:rsid w:val="00F52DFF"/>
    <w:rsid w:val="00F532F4"/>
    <w:rsid w:val="00F543E6"/>
    <w:rsid w:val="00F557A0"/>
    <w:rsid w:val="00F563D5"/>
    <w:rsid w:val="00F5708F"/>
    <w:rsid w:val="00F57DE6"/>
    <w:rsid w:val="00F60044"/>
    <w:rsid w:val="00F6012C"/>
    <w:rsid w:val="00F604C9"/>
    <w:rsid w:val="00F610CD"/>
    <w:rsid w:val="00F616A1"/>
    <w:rsid w:val="00F61C12"/>
    <w:rsid w:val="00F623DF"/>
    <w:rsid w:val="00F629C4"/>
    <w:rsid w:val="00F63378"/>
    <w:rsid w:val="00F63F33"/>
    <w:rsid w:val="00F640EF"/>
    <w:rsid w:val="00F65BAB"/>
    <w:rsid w:val="00F662D8"/>
    <w:rsid w:val="00F671C5"/>
    <w:rsid w:val="00F67284"/>
    <w:rsid w:val="00F707D9"/>
    <w:rsid w:val="00F717B3"/>
    <w:rsid w:val="00F71937"/>
    <w:rsid w:val="00F71A5F"/>
    <w:rsid w:val="00F71BB0"/>
    <w:rsid w:val="00F72777"/>
    <w:rsid w:val="00F72C5C"/>
    <w:rsid w:val="00F73FE9"/>
    <w:rsid w:val="00F741C6"/>
    <w:rsid w:val="00F74D73"/>
    <w:rsid w:val="00F74D93"/>
    <w:rsid w:val="00F757EC"/>
    <w:rsid w:val="00F76984"/>
    <w:rsid w:val="00F76D51"/>
    <w:rsid w:val="00F777CF"/>
    <w:rsid w:val="00F77DAA"/>
    <w:rsid w:val="00F77F0B"/>
    <w:rsid w:val="00F80580"/>
    <w:rsid w:val="00F80BF1"/>
    <w:rsid w:val="00F80C70"/>
    <w:rsid w:val="00F8103C"/>
    <w:rsid w:val="00F814A9"/>
    <w:rsid w:val="00F81A99"/>
    <w:rsid w:val="00F8271C"/>
    <w:rsid w:val="00F829E3"/>
    <w:rsid w:val="00F82DE6"/>
    <w:rsid w:val="00F83A1F"/>
    <w:rsid w:val="00F83AA4"/>
    <w:rsid w:val="00F83B76"/>
    <w:rsid w:val="00F83C6A"/>
    <w:rsid w:val="00F8411B"/>
    <w:rsid w:val="00F8474D"/>
    <w:rsid w:val="00F84AF8"/>
    <w:rsid w:val="00F851D6"/>
    <w:rsid w:val="00F85468"/>
    <w:rsid w:val="00F85B03"/>
    <w:rsid w:val="00F85E27"/>
    <w:rsid w:val="00F85FB4"/>
    <w:rsid w:val="00F86530"/>
    <w:rsid w:val="00F86697"/>
    <w:rsid w:val="00F8785A"/>
    <w:rsid w:val="00F90267"/>
    <w:rsid w:val="00F90475"/>
    <w:rsid w:val="00F9083E"/>
    <w:rsid w:val="00F90A44"/>
    <w:rsid w:val="00F90F4F"/>
    <w:rsid w:val="00F922E4"/>
    <w:rsid w:val="00F92988"/>
    <w:rsid w:val="00F930E8"/>
    <w:rsid w:val="00F9350E"/>
    <w:rsid w:val="00F94BE5"/>
    <w:rsid w:val="00F95685"/>
    <w:rsid w:val="00F957CD"/>
    <w:rsid w:val="00F95D7B"/>
    <w:rsid w:val="00F962C3"/>
    <w:rsid w:val="00F96BF8"/>
    <w:rsid w:val="00F970E4"/>
    <w:rsid w:val="00F97809"/>
    <w:rsid w:val="00FA07DA"/>
    <w:rsid w:val="00FA1892"/>
    <w:rsid w:val="00FA23CE"/>
    <w:rsid w:val="00FA25D2"/>
    <w:rsid w:val="00FA2708"/>
    <w:rsid w:val="00FA2DCE"/>
    <w:rsid w:val="00FA3427"/>
    <w:rsid w:val="00FA36AB"/>
    <w:rsid w:val="00FA3EE1"/>
    <w:rsid w:val="00FA4D8A"/>
    <w:rsid w:val="00FA55A8"/>
    <w:rsid w:val="00FA5E7A"/>
    <w:rsid w:val="00FA61A2"/>
    <w:rsid w:val="00FA6E00"/>
    <w:rsid w:val="00FA7761"/>
    <w:rsid w:val="00FA7AAE"/>
    <w:rsid w:val="00FA7C60"/>
    <w:rsid w:val="00FB0A8C"/>
    <w:rsid w:val="00FB0F49"/>
    <w:rsid w:val="00FB21B9"/>
    <w:rsid w:val="00FB2234"/>
    <w:rsid w:val="00FB2736"/>
    <w:rsid w:val="00FB29F0"/>
    <w:rsid w:val="00FB3429"/>
    <w:rsid w:val="00FB46C2"/>
    <w:rsid w:val="00FB4B9B"/>
    <w:rsid w:val="00FB4C9F"/>
    <w:rsid w:val="00FB5492"/>
    <w:rsid w:val="00FB55C0"/>
    <w:rsid w:val="00FB76CC"/>
    <w:rsid w:val="00FB7E1F"/>
    <w:rsid w:val="00FC0107"/>
    <w:rsid w:val="00FC0390"/>
    <w:rsid w:val="00FC07D7"/>
    <w:rsid w:val="00FC0B30"/>
    <w:rsid w:val="00FC0D1E"/>
    <w:rsid w:val="00FC12D4"/>
    <w:rsid w:val="00FC303C"/>
    <w:rsid w:val="00FC329F"/>
    <w:rsid w:val="00FC350F"/>
    <w:rsid w:val="00FC3642"/>
    <w:rsid w:val="00FC61EB"/>
    <w:rsid w:val="00FC7879"/>
    <w:rsid w:val="00FD11DD"/>
    <w:rsid w:val="00FD1D9C"/>
    <w:rsid w:val="00FD28A6"/>
    <w:rsid w:val="00FD2DCC"/>
    <w:rsid w:val="00FD3270"/>
    <w:rsid w:val="00FD3A01"/>
    <w:rsid w:val="00FD4EC2"/>
    <w:rsid w:val="00FD50C9"/>
    <w:rsid w:val="00FD53F2"/>
    <w:rsid w:val="00FD5DDF"/>
    <w:rsid w:val="00FD6D89"/>
    <w:rsid w:val="00FD7174"/>
    <w:rsid w:val="00FE0108"/>
    <w:rsid w:val="00FE2EED"/>
    <w:rsid w:val="00FE34F0"/>
    <w:rsid w:val="00FE38FA"/>
    <w:rsid w:val="00FE394C"/>
    <w:rsid w:val="00FE3C2F"/>
    <w:rsid w:val="00FE4A49"/>
    <w:rsid w:val="00FE4BF7"/>
    <w:rsid w:val="00FE5A7E"/>
    <w:rsid w:val="00FE6D10"/>
    <w:rsid w:val="00FE6D1B"/>
    <w:rsid w:val="00FE6EB7"/>
    <w:rsid w:val="00FE6EDE"/>
    <w:rsid w:val="00FE765B"/>
    <w:rsid w:val="00FE788F"/>
    <w:rsid w:val="00FE7B75"/>
    <w:rsid w:val="00FF015E"/>
    <w:rsid w:val="00FF1E08"/>
    <w:rsid w:val="00FF360B"/>
    <w:rsid w:val="00FF36A9"/>
    <w:rsid w:val="00FF38B1"/>
    <w:rsid w:val="00FF3CD0"/>
    <w:rsid w:val="00FF3D3A"/>
    <w:rsid w:val="00FF3E95"/>
    <w:rsid w:val="00FF415E"/>
    <w:rsid w:val="00FF4644"/>
    <w:rsid w:val="00FF48C6"/>
    <w:rsid w:val="00FF4BB0"/>
    <w:rsid w:val="00FF5181"/>
    <w:rsid w:val="00FF587B"/>
    <w:rsid w:val="00FF5D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0EF699"/>
  <w15:docId w15:val="{9907CC5C-A1EC-46AF-B976-53B7C595A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CE4"/>
    <w:pPr>
      <w:ind w:left="720"/>
      <w:contextualSpacing/>
    </w:pPr>
  </w:style>
  <w:style w:type="paragraph" w:styleId="Header">
    <w:name w:val="header"/>
    <w:basedOn w:val="Normal"/>
    <w:link w:val="HeaderChar"/>
    <w:uiPriority w:val="99"/>
    <w:unhideWhenUsed/>
    <w:rsid w:val="009C1B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1BB0"/>
  </w:style>
  <w:style w:type="paragraph" w:styleId="Footer">
    <w:name w:val="footer"/>
    <w:basedOn w:val="Normal"/>
    <w:link w:val="FooterChar"/>
    <w:uiPriority w:val="99"/>
    <w:unhideWhenUsed/>
    <w:rsid w:val="009C1B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1BB0"/>
  </w:style>
  <w:style w:type="paragraph" w:styleId="BalloonText">
    <w:name w:val="Balloon Text"/>
    <w:basedOn w:val="Normal"/>
    <w:link w:val="BalloonTextChar"/>
    <w:uiPriority w:val="99"/>
    <w:semiHidden/>
    <w:unhideWhenUsed/>
    <w:rsid w:val="00EC7A8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7A8A"/>
    <w:rPr>
      <w:rFonts w:ascii="Lucida Grande" w:hAnsi="Lucida Grande" w:cs="Lucida Grande"/>
      <w:sz w:val="18"/>
      <w:szCs w:val="18"/>
    </w:rPr>
  </w:style>
  <w:style w:type="paragraph" w:customStyle="1" w:styleId="Default">
    <w:name w:val="Default"/>
    <w:rsid w:val="00695E3D"/>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FootnoteText">
    <w:name w:val="footnote text"/>
    <w:basedOn w:val="Normal"/>
    <w:link w:val="FootnoteTextChar"/>
    <w:uiPriority w:val="99"/>
    <w:semiHidden/>
    <w:unhideWhenUsed/>
    <w:rsid w:val="003F22E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22EF"/>
    <w:rPr>
      <w:sz w:val="20"/>
      <w:szCs w:val="20"/>
    </w:rPr>
  </w:style>
  <w:style w:type="character" w:styleId="FootnoteReference">
    <w:name w:val="footnote reference"/>
    <w:basedOn w:val="DefaultParagraphFont"/>
    <w:uiPriority w:val="99"/>
    <w:semiHidden/>
    <w:unhideWhenUsed/>
    <w:rsid w:val="003F22EF"/>
    <w:rPr>
      <w:vertAlign w:val="superscript"/>
    </w:rPr>
  </w:style>
  <w:style w:type="character" w:styleId="Hyperlink">
    <w:name w:val="Hyperlink"/>
    <w:basedOn w:val="DefaultParagraphFont"/>
    <w:uiPriority w:val="99"/>
    <w:unhideWhenUsed/>
    <w:rsid w:val="00975E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793430">
      <w:bodyDiv w:val="1"/>
      <w:marLeft w:val="0"/>
      <w:marRight w:val="0"/>
      <w:marTop w:val="0"/>
      <w:marBottom w:val="0"/>
      <w:divBdr>
        <w:top w:val="none" w:sz="0" w:space="0" w:color="auto"/>
        <w:left w:val="none" w:sz="0" w:space="0" w:color="auto"/>
        <w:bottom w:val="none" w:sz="0" w:space="0" w:color="auto"/>
        <w:right w:val="none" w:sz="0" w:space="0" w:color="auto"/>
      </w:divBdr>
    </w:div>
    <w:div w:id="1691687666">
      <w:bodyDiv w:val="1"/>
      <w:marLeft w:val="0"/>
      <w:marRight w:val="0"/>
      <w:marTop w:val="0"/>
      <w:marBottom w:val="0"/>
      <w:divBdr>
        <w:top w:val="none" w:sz="0" w:space="0" w:color="auto"/>
        <w:left w:val="none" w:sz="0" w:space="0" w:color="auto"/>
        <w:bottom w:val="none" w:sz="0" w:space="0" w:color="auto"/>
        <w:right w:val="none" w:sz="0" w:space="0" w:color="auto"/>
      </w:divBdr>
    </w:div>
    <w:div w:id="203072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o.org/elearnin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A422-7F20-43A9-86BE-17219B3C0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Page</dc:creator>
  <cp:keywords/>
  <dc:description/>
  <cp:lastModifiedBy>Navarro, DorianKalamvrezos (OCS)</cp:lastModifiedBy>
  <cp:revision>23</cp:revision>
  <dcterms:created xsi:type="dcterms:W3CDTF">2017-10-02T15:53:00Z</dcterms:created>
  <dcterms:modified xsi:type="dcterms:W3CDTF">2018-03-13T15:32:00Z</dcterms:modified>
</cp:coreProperties>
</file>